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11F6" w14:textId="77777777" w:rsidR="00574560" w:rsidRDefault="00574560" w:rsidP="00574560">
      <w:pPr>
        <w:spacing w:line="360" w:lineRule="auto"/>
        <w:jc w:val="center"/>
        <w:rPr>
          <w:sz w:val="36"/>
          <w:szCs w:val="36"/>
          <w:lang w:val="fr-CA"/>
        </w:rPr>
      </w:pPr>
    </w:p>
    <w:p w14:paraId="2BAEFD71" w14:textId="4CD462E9" w:rsidR="00574560" w:rsidRPr="00574560" w:rsidRDefault="00574560" w:rsidP="00574560">
      <w:pPr>
        <w:spacing w:line="360" w:lineRule="auto"/>
        <w:jc w:val="center"/>
        <w:rPr>
          <w:sz w:val="36"/>
          <w:szCs w:val="36"/>
          <w:lang w:val="fr-CA"/>
        </w:rPr>
      </w:pPr>
      <w:r w:rsidRPr="00574560">
        <w:rPr>
          <w:sz w:val="36"/>
          <w:szCs w:val="36"/>
          <w:lang w:val="fr-CA"/>
        </w:rPr>
        <w:t>Clin</w:t>
      </w:r>
      <w:r w:rsidR="00D24260">
        <w:rPr>
          <w:sz w:val="36"/>
          <w:szCs w:val="36"/>
          <w:lang w:val="fr-CA"/>
        </w:rPr>
        <w:t>i</w:t>
      </w:r>
      <w:r w:rsidRPr="00574560">
        <w:rPr>
          <w:sz w:val="36"/>
          <w:szCs w:val="36"/>
          <w:lang w:val="fr-CA"/>
        </w:rPr>
        <w:t xml:space="preserve">que Droit de Cité </w:t>
      </w:r>
    </w:p>
    <w:p w14:paraId="521A7BAA" w14:textId="77777777" w:rsidR="00574560" w:rsidRDefault="00574560" w:rsidP="00574560">
      <w:pPr>
        <w:spacing w:line="360" w:lineRule="auto"/>
        <w:rPr>
          <w:sz w:val="36"/>
          <w:szCs w:val="36"/>
          <w:u w:val="single"/>
          <w:lang w:val="fr-CA"/>
        </w:rPr>
      </w:pPr>
    </w:p>
    <w:p w14:paraId="6F57E323" w14:textId="77777777" w:rsidR="00574560" w:rsidRDefault="00574560" w:rsidP="00574560">
      <w:pPr>
        <w:spacing w:line="360" w:lineRule="auto"/>
        <w:rPr>
          <w:sz w:val="36"/>
          <w:szCs w:val="36"/>
          <w:u w:val="single"/>
          <w:lang w:val="fr-CA"/>
        </w:rPr>
      </w:pPr>
    </w:p>
    <w:p w14:paraId="2ABAACBE" w14:textId="389069AB" w:rsidR="00D30E42" w:rsidRPr="00574560" w:rsidRDefault="00DD0D56" w:rsidP="00685BCF">
      <w:pPr>
        <w:spacing w:line="360" w:lineRule="auto"/>
        <w:jc w:val="center"/>
        <w:rPr>
          <w:sz w:val="36"/>
          <w:szCs w:val="36"/>
          <w:lang w:val="fr-CA"/>
        </w:rPr>
      </w:pPr>
      <w:r w:rsidRPr="00574560">
        <w:rPr>
          <w:sz w:val="36"/>
          <w:szCs w:val="36"/>
          <w:lang w:val="fr-CA"/>
        </w:rPr>
        <w:t xml:space="preserve">Document visant à guider une campagne de mobilisation </w:t>
      </w:r>
      <w:r w:rsidR="00574560" w:rsidRPr="00574560">
        <w:rPr>
          <w:sz w:val="36"/>
          <w:szCs w:val="36"/>
          <w:lang w:val="fr-CA"/>
        </w:rPr>
        <w:t>sur la section concernant la déontologie du projet de loi 14</w:t>
      </w:r>
    </w:p>
    <w:p w14:paraId="713E9D8F" w14:textId="77777777" w:rsidR="0018278F" w:rsidRDefault="0018278F" w:rsidP="0018278F">
      <w:pPr>
        <w:spacing w:line="360" w:lineRule="auto"/>
        <w:jc w:val="center"/>
        <w:rPr>
          <w:sz w:val="28"/>
          <w:szCs w:val="28"/>
          <w:u w:val="single"/>
          <w:lang w:val="fr-CA"/>
        </w:rPr>
      </w:pPr>
    </w:p>
    <w:p w14:paraId="534452B1" w14:textId="3772F82C" w:rsidR="00574560" w:rsidRDefault="00574560" w:rsidP="0018278F">
      <w:pPr>
        <w:spacing w:line="360" w:lineRule="auto"/>
        <w:jc w:val="center"/>
        <w:rPr>
          <w:sz w:val="32"/>
          <w:szCs w:val="32"/>
          <w:lang w:val="fr-CA"/>
        </w:rPr>
      </w:pPr>
      <w:r>
        <w:fldChar w:fldCharType="begin"/>
      </w:r>
      <w:r w:rsidRPr="00D3413B">
        <w:rPr>
          <w:lang w:val="fr-FR"/>
        </w:rPr>
        <w:instrText xml:space="preserve"> INCLUDEPICTURE "/Users/johnabraini/Library/Group Containers/UBF8T346G9.ms/WebArchiveCopyPasteTempFiles/com.microsoft.Word/HVG15+0MV9dHex9X16+i2HyGbkyWfyiuTrQMDy624RLXs5Gsh4HoWvcGf3zARdnnZC3+PH6elfeV45eYm8XW4YIoXhRR0MicKO+V8M2NCjMq7GIhQXGt0buUjfliOOOOKIIzbGfwF2Z7RdC1Z69gAAAABJRU5ErkJggg==" \* MERGEFORMATINET </w:instrText>
      </w:r>
      <w:r w:rsidR="00000000">
        <w:fldChar w:fldCharType="separate"/>
      </w:r>
      <w:r>
        <w:fldChar w:fldCharType="end"/>
      </w:r>
    </w:p>
    <w:p w14:paraId="7BC72A63" w14:textId="50A78DA5" w:rsidR="00574560" w:rsidRDefault="00427C7B" w:rsidP="0018278F">
      <w:pPr>
        <w:spacing w:line="360" w:lineRule="auto"/>
        <w:jc w:val="center"/>
        <w:rPr>
          <w:sz w:val="32"/>
          <w:szCs w:val="32"/>
          <w:lang w:val="fr-CA"/>
        </w:rPr>
      </w:pPr>
      <w:r>
        <w:rPr>
          <w:noProof/>
          <w:sz w:val="32"/>
          <w:szCs w:val="32"/>
          <w:lang w:val="fr-CA"/>
        </w:rPr>
        <w:drawing>
          <wp:anchor distT="0" distB="0" distL="114300" distR="114300" simplePos="0" relativeHeight="251658240" behindDoc="1" locked="0" layoutInCell="1" allowOverlap="1" wp14:anchorId="4AD58074" wp14:editId="5A2191D3">
            <wp:simplePos x="0" y="0"/>
            <wp:positionH relativeFrom="column">
              <wp:posOffset>1071442</wp:posOffset>
            </wp:positionH>
            <wp:positionV relativeFrom="paragraph">
              <wp:posOffset>227308</wp:posOffset>
            </wp:positionV>
            <wp:extent cx="3682520" cy="1844565"/>
            <wp:effectExtent l="0" t="0" r="635" b="0"/>
            <wp:wrapNone/>
            <wp:docPr id="87435446" name="Picture 2" descr="A logo with text and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35446" name="Picture 2" descr="A logo with text and letter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682520" cy="1844565"/>
                    </a:xfrm>
                    <a:prstGeom prst="rect">
                      <a:avLst/>
                    </a:prstGeom>
                  </pic:spPr>
                </pic:pic>
              </a:graphicData>
            </a:graphic>
            <wp14:sizeRelH relativeFrom="margin">
              <wp14:pctWidth>0</wp14:pctWidth>
            </wp14:sizeRelH>
            <wp14:sizeRelV relativeFrom="margin">
              <wp14:pctHeight>0</wp14:pctHeight>
            </wp14:sizeRelV>
          </wp:anchor>
        </w:drawing>
      </w:r>
    </w:p>
    <w:p w14:paraId="40EBBB6D" w14:textId="06902A48" w:rsidR="00574560" w:rsidRDefault="00574560" w:rsidP="0018278F">
      <w:pPr>
        <w:spacing w:line="360" w:lineRule="auto"/>
        <w:jc w:val="center"/>
        <w:rPr>
          <w:sz w:val="32"/>
          <w:szCs w:val="32"/>
          <w:lang w:val="fr-CA"/>
        </w:rPr>
      </w:pPr>
    </w:p>
    <w:p w14:paraId="5D465C58" w14:textId="77777777" w:rsidR="00574560" w:rsidRDefault="00574560" w:rsidP="0018278F">
      <w:pPr>
        <w:spacing w:line="360" w:lineRule="auto"/>
        <w:jc w:val="center"/>
        <w:rPr>
          <w:sz w:val="32"/>
          <w:szCs w:val="32"/>
          <w:lang w:val="fr-CA"/>
        </w:rPr>
      </w:pPr>
    </w:p>
    <w:p w14:paraId="796F39A6" w14:textId="77777777" w:rsidR="00574560" w:rsidRDefault="00574560" w:rsidP="0018278F">
      <w:pPr>
        <w:spacing w:line="360" w:lineRule="auto"/>
        <w:jc w:val="center"/>
        <w:rPr>
          <w:sz w:val="32"/>
          <w:szCs w:val="32"/>
          <w:lang w:val="fr-CA"/>
        </w:rPr>
      </w:pPr>
    </w:p>
    <w:p w14:paraId="133AF199" w14:textId="77777777" w:rsidR="00574560" w:rsidRDefault="00574560" w:rsidP="0018278F">
      <w:pPr>
        <w:spacing w:line="360" w:lineRule="auto"/>
        <w:jc w:val="center"/>
        <w:rPr>
          <w:sz w:val="28"/>
          <w:szCs w:val="28"/>
          <w:u w:val="single"/>
          <w:lang w:val="fr-CA"/>
        </w:rPr>
      </w:pPr>
    </w:p>
    <w:p w14:paraId="6A766256" w14:textId="77777777" w:rsidR="00427C7B" w:rsidRDefault="00427C7B" w:rsidP="0018278F">
      <w:pPr>
        <w:spacing w:line="360" w:lineRule="auto"/>
        <w:jc w:val="center"/>
        <w:rPr>
          <w:sz w:val="36"/>
          <w:szCs w:val="36"/>
          <w:lang w:val="fr-CA"/>
        </w:rPr>
      </w:pPr>
    </w:p>
    <w:p w14:paraId="63203724" w14:textId="77777777" w:rsidR="00427C7B" w:rsidRDefault="00427C7B" w:rsidP="0018278F">
      <w:pPr>
        <w:spacing w:line="360" w:lineRule="auto"/>
        <w:jc w:val="center"/>
        <w:rPr>
          <w:sz w:val="36"/>
          <w:szCs w:val="36"/>
          <w:lang w:val="fr-CA"/>
        </w:rPr>
      </w:pPr>
    </w:p>
    <w:p w14:paraId="4E632197" w14:textId="77777777" w:rsidR="00427C7B" w:rsidRDefault="00427C7B" w:rsidP="0018278F">
      <w:pPr>
        <w:spacing w:line="360" w:lineRule="auto"/>
        <w:jc w:val="center"/>
        <w:rPr>
          <w:sz w:val="36"/>
          <w:szCs w:val="36"/>
          <w:lang w:val="fr-CA"/>
        </w:rPr>
      </w:pPr>
    </w:p>
    <w:p w14:paraId="44DCAA5F" w14:textId="4C0C8555" w:rsidR="00574560" w:rsidRPr="00574560" w:rsidRDefault="00574560" w:rsidP="0018278F">
      <w:pPr>
        <w:spacing w:line="360" w:lineRule="auto"/>
        <w:jc w:val="center"/>
        <w:rPr>
          <w:sz w:val="36"/>
          <w:szCs w:val="36"/>
          <w:lang w:val="fr-CA"/>
        </w:rPr>
      </w:pPr>
      <w:r w:rsidRPr="00574560">
        <w:rPr>
          <w:sz w:val="36"/>
          <w:szCs w:val="36"/>
          <w:lang w:val="fr-CA"/>
        </w:rPr>
        <w:t xml:space="preserve">Travail </w:t>
      </w:r>
      <w:r>
        <w:rPr>
          <w:sz w:val="36"/>
          <w:szCs w:val="36"/>
          <w:lang w:val="fr-CA"/>
        </w:rPr>
        <w:t>r</w:t>
      </w:r>
      <w:r w:rsidRPr="00574560">
        <w:rPr>
          <w:sz w:val="36"/>
          <w:szCs w:val="36"/>
          <w:lang w:val="fr-CA"/>
        </w:rPr>
        <w:t>éalisé dans le cadre du stage Emploi été Canada 2023</w:t>
      </w:r>
    </w:p>
    <w:p w14:paraId="5F590C3A" w14:textId="77777777" w:rsidR="002B2D9A" w:rsidRDefault="002B2D9A" w:rsidP="000427D1">
      <w:pPr>
        <w:spacing w:line="360" w:lineRule="auto"/>
        <w:jc w:val="both"/>
        <w:rPr>
          <w:u w:val="single"/>
          <w:lang w:val="fr-CA"/>
        </w:rPr>
      </w:pPr>
    </w:p>
    <w:p w14:paraId="3FCC8D95" w14:textId="77777777" w:rsidR="00DD0D56" w:rsidRDefault="00DD0D56" w:rsidP="000427D1">
      <w:pPr>
        <w:spacing w:line="360" w:lineRule="auto"/>
        <w:jc w:val="both"/>
        <w:rPr>
          <w:u w:val="single"/>
          <w:lang w:val="fr-CA"/>
        </w:rPr>
      </w:pPr>
    </w:p>
    <w:p w14:paraId="7E388B50" w14:textId="77777777" w:rsidR="00DD0D56" w:rsidRDefault="00DD0D56" w:rsidP="000427D1">
      <w:pPr>
        <w:spacing w:line="360" w:lineRule="auto"/>
        <w:jc w:val="both"/>
        <w:rPr>
          <w:u w:val="single"/>
          <w:lang w:val="fr-CA"/>
        </w:rPr>
      </w:pPr>
    </w:p>
    <w:p w14:paraId="38553C16" w14:textId="77777777" w:rsidR="00DD0D56" w:rsidRDefault="00DD0D56" w:rsidP="000427D1">
      <w:pPr>
        <w:spacing w:line="360" w:lineRule="auto"/>
        <w:jc w:val="both"/>
        <w:rPr>
          <w:u w:val="single"/>
          <w:lang w:val="fr-CA"/>
        </w:rPr>
      </w:pPr>
    </w:p>
    <w:p w14:paraId="6083E40A" w14:textId="77777777" w:rsidR="00DD0D56" w:rsidRDefault="00DD0D56" w:rsidP="000427D1">
      <w:pPr>
        <w:spacing w:line="360" w:lineRule="auto"/>
        <w:jc w:val="both"/>
        <w:rPr>
          <w:u w:val="single"/>
          <w:lang w:val="fr-CA"/>
        </w:rPr>
      </w:pPr>
    </w:p>
    <w:p w14:paraId="18F8E2AA" w14:textId="77777777" w:rsidR="00574560" w:rsidRDefault="00574560" w:rsidP="000427D1">
      <w:pPr>
        <w:spacing w:line="360" w:lineRule="auto"/>
        <w:jc w:val="both"/>
        <w:rPr>
          <w:u w:val="single"/>
          <w:lang w:val="fr-CA"/>
        </w:rPr>
      </w:pPr>
    </w:p>
    <w:p w14:paraId="128E2551" w14:textId="3E072E00" w:rsidR="00574560" w:rsidRPr="00574560" w:rsidRDefault="00574560" w:rsidP="00574560">
      <w:pPr>
        <w:spacing w:line="360" w:lineRule="auto"/>
        <w:jc w:val="center"/>
        <w:rPr>
          <w:sz w:val="36"/>
          <w:szCs w:val="36"/>
          <w:lang w:val="fr-CA"/>
        </w:rPr>
      </w:pPr>
      <w:r w:rsidRPr="00574560">
        <w:rPr>
          <w:sz w:val="36"/>
          <w:szCs w:val="36"/>
          <w:lang w:val="fr-CA"/>
        </w:rPr>
        <w:t>Aout 2023</w:t>
      </w:r>
    </w:p>
    <w:p w14:paraId="79E4B6F3" w14:textId="77777777" w:rsidR="00DD0D56" w:rsidRDefault="00DD0D56" w:rsidP="000427D1">
      <w:pPr>
        <w:spacing w:line="360" w:lineRule="auto"/>
        <w:jc w:val="both"/>
        <w:rPr>
          <w:u w:val="single"/>
          <w:lang w:val="fr-CA"/>
        </w:rPr>
      </w:pPr>
    </w:p>
    <w:p w14:paraId="294CD931" w14:textId="77777777" w:rsidR="00DD0D56" w:rsidRDefault="00DD0D56" w:rsidP="000427D1">
      <w:pPr>
        <w:spacing w:line="360" w:lineRule="auto"/>
        <w:jc w:val="both"/>
        <w:rPr>
          <w:u w:val="single"/>
          <w:lang w:val="fr-CA"/>
        </w:rPr>
      </w:pPr>
    </w:p>
    <w:sdt>
      <w:sdtPr>
        <w:rPr>
          <w:rFonts w:asciiTheme="minorHAnsi" w:eastAsiaTheme="minorHAnsi" w:hAnsiTheme="minorHAnsi" w:cstheme="minorBidi"/>
          <w:b w:val="0"/>
          <w:bCs w:val="0"/>
          <w:color w:val="auto"/>
          <w:kern w:val="2"/>
          <w:sz w:val="24"/>
          <w:szCs w:val="24"/>
          <w:lang w:val="en-GB"/>
          <w14:ligatures w14:val="standardContextual"/>
        </w:rPr>
        <w:id w:val="1176148688"/>
        <w:docPartObj>
          <w:docPartGallery w:val="Table of Contents"/>
          <w:docPartUnique/>
        </w:docPartObj>
      </w:sdtPr>
      <w:sdtEndPr>
        <w:rPr>
          <w:noProof/>
        </w:rPr>
      </w:sdtEndPr>
      <w:sdtContent>
        <w:p w14:paraId="1EED2C27" w14:textId="358DADC5" w:rsidR="00455669" w:rsidRPr="0064159B" w:rsidRDefault="0064159B">
          <w:pPr>
            <w:pStyle w:val="TOCHeading"/>
            <w:rPr>
              <w:b w:val="0"/>
              <w:bCs w:val="0"/>
              <w:sz w:val="40"/>
              <w:szCs w:val="40"/>
            </w:rPr>
          </w:pPr>
          <w:r>
            <w:rPr>
              <w:b w:val="0"/>
              <w:bCs w:val="0"/>
              <w:sz w:val="40"/>
              <w:szCs w:val="40"/>
            </w:rPr>
            <w:t>Table des matières</w:t>
          </w:r>
        </w:p>
        <w:p w14:paraId="79B90C75" w14:textId="61E5E3C8" w:rsidR="007D2C8E" w:rsidRDefault="00455669">
          <w:pPr>
            <w:pStyle w:val="TOC1"/>
            <w:tabs>
              <w:tab w:val="left" w:pos="408"/>
              <w:tab w:val="right" w:leader="dot" w:pos="9016"/>
            </w:tabs>
            <w:rPr>
              <w:rFonts w:eastAsiaTheme="minorEastAsia" w:cstheme="minorBidi"/>
              <w:b w:val="0"/>
              <w:bCs w:val="0"/>
              <w:caps w:val="0"/>
              <w:noProof/>
              <w:sz w:val="24"/>
              <w:szCs w:val="24"/>
              <w:u w:val="none"/>
              <w:lang w:eastAsia="en-GB"/>
            </w:rPr>
          </w:pPr>
          <w:r w:rsidRPr="0064159B">
            <w:rPr>
              <w:b w:val="0"/>
              <w:bCs w:val="0"/>
              <w:sz w:val="32"/>
              <w:szCs w:val="32"/>
            </w:rPr>
            <w:fldChar w:fldCharType="begin"/>
          </w:r>
          <w:r w:rsidRPr="0064159B">
            <w:rPr>
              <w:b w:val="0"/>
              <w:bCs w:val="0"/>
              <w:sz w:val="32"/>
              <w:szCs w:val="32"/>
            </w:rPr>
            <w:instrText xml:space="preserve"> TOC \o "1-3" \h \z \u </w:instrText>
          </w:r>
          <w:r w:rsidRPr="0064159B">
            <w:rPr>
              <w:b w:val="0"/>
              <w:bCs w:val="0"/>
              <w:sz w:val="32"/>
              <w:szCs w:val="32"/>
            </w:rPr>
            <w:fldChar w:fldCharType="separate"/>
          </w:r>
          <w:hyperlink w:anchor="_Toc143850224" w:history="1">
            <w:r w:rsidR="007D2C8E" w:rsidRPr="00D840F7">
              <w:rPr>
                <w:rStyle w:val="Hyperlink"/>
                <w:noProof/>
                <w:lang w:val="fr-CA"/>
              </w:rPr>
              <w:t>1.</w:t>
            </w:r>
            <w:r w:rsidR="007D2C8E">
              <w:rPr>
                <w:rFonts w:eastAsiaTheme="minorEastAsia" w:cstheme="minorBidi"/>
                <w:b w:val="0"/>
                <w:bCs w:val="0"/>
                <w:caps w:val="0"/>
                <w:noProof/>
                <w:sz w:val="24"/>
                <w:szCs w:val="24"/>
                <w:u w:val="none"/>
                <w:lang w:eastAsia="en-GB"/>
              </w:rPr>
              <w:tab/>
            </w:r>
            <w:r w:rsidR="007D2C8E" w:rsidRPr="00D840F7">
              <w:rPr>
                <w:rStyle w:val="Hyperlink"/>
                <w:noProof/>
                <w:lang w:val="fr-CA"/>
              </w:rPr>
              <w:t>Qu’est-ce que le Commissaire à la déontologie policière?</w:t>
            </w:r>
            <w:r w:rsidR="007D2C8E">
              <w:rPr>
                <w:noProof/>
                <w:webHidden/>
              </w:rPr>
              <w:tab/>
            </w:r>
            <w:r w:rsidR="007D2C8E">
              <w:rPr>
                <w:noProof/>
                <w:webHidden/>
              </w:rPr>
              <w:fldChar w:fldCharType="begin"/>
            </w:r>
            <w:r w:rsidR="007D2C8E">
              <w:rPr>
                <w:noProof/>
                <w:webHidden/>
              </w:rPr>
              <w:instrText xml:space="preserve"> PAGEREF _Toc143850224 \h </w:instrText>
            </w:r>
            <w:r w:rsidR="007D2C8E">
              <w:rPr>
                <w:noProof/>
                <w:webHidden/>
              </w:rPr>
            </w:r>
            <w:r w:rsidR="007D2C8E">
              <w:rPr>
                <w:noProof/>
                <w:webHidden/>
              </w:rPr>
              <w:fldChar w:fldCharType="separate"/>
            </w:r>
            <w:r w:rsidR="007D2C8E">
              <w:rPr>
                <w:noProof/>
                <w:webHidden/>
              </w:rPr>
              <w:t>3</w:t>
            </w:r>
            <w:r w:rsidR="007D2C8E">
              <w:rPr>
                <w:noProof/>
                <w:webHidden/>
              </w:rPr>
              <w:fldChar w:fldCharType="end"/>
            </w:r>
          </w:hyperlink>
        </w:p>
        <w:p w14:paraId="4B1FDD10" w14:textId="08187EA8" w:rsidR="007D2C8E" w:rsidRDefault="00000000">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143850225" w:history="1">
            <w:r w:rsidR="007D2C8E" w:rsidRPr="00D840F7">
              <w:rPr>
                <w:rStyle w:val="Hyperlink"/>
                <w:noProof/>
                <w:lang w:val="fr-CA"/>
              </w:rPr>
              <w:t>2.</w:t>
            </w:r>
            <w:r w:rsidR="007D2C8E">
              <w:rPr>
                <w:rFonts w:eastAsiaTheme="minorEastAsia" w:cstheme="minorBidi"/>
                <w:b w:val="0"/>
                <w:bCs w:val="0"/>
                <w:caps w:val="0"/>
                <w:noProof/>
                <w:sz w:val="24"/>
                <w:szCs w:val="24"/>
                <w:u w:val="none"/>
                <w:lang w:eastAsia="en-GB"/>
              </w:rPr>
              <w:tab/>
            </w:r>
            <w:r w:rsidR="007D2C8E" w:rsidRPr="00D840F7">
              <w:rPr>
                <w:rStyle w:val="Hyperlink"/>
                <w:noProof/>
                <w:lang w:val="fr-CA"/>
              </w:rPr>
              <w:t>Le processus d’un dépôt de plaintes</w:t>
            </w:r>
            <w:r w:rsidR="007D2C8E">
              <w:rPr>
                <w:noProof/>
                <w:webHidden/>
              </w:rPr>
              <w:tab/>
            </w:r>
            <w:r w:rsidR="007D2C8E">
              <w:rPr>
                <w:noProof/>
                <w:webHidden/>
              </w:rPr>
              <w:fldChar w:fldCharType="begin"/>
            </w:r>
            <w:r w:rsidR="007D2C8E">
              <w:rPr>
                <w:noProof/>
                <w:webHidden/>
              </w:rPr>
              <w:instrText xml:space="preserve"> PAGEREF _Toc143850225 \h </w:instrText>
            </w:r>
            <w:r w:rsidR="007D2C8E">
              <w:rPr>
                <w:noProof/>
                <w:webHidden/>
              </w:rPr>
            </w:r>
            <w:r w:rsidR="007D2C8E">
              <w:rPr>
                <w:noProof/>
                <w:webHidden/>
              </w:rPr>
              <w:fldChar w:fldCharType="separate"/>
            </w:r>
            <w:r w:rsidR="007D2C8E">
              <w:rPr>
                <w:noProof/>
                <w:webHidden/>
              </w:rPr>
              <w:t>3</w:t>
            </w:r>
            <w:r w:rsidR="007D2C8E">
              <w:rPr>
                <w:noProof/>
                <w:webHidden/>
              </w:rPr>
              <w:fldChar w:fldCharType="end"/>
            </w:r>
          </w:hyperlink>
        </w:p>
        <w:p w14:paraId="207092B2" w14:textId="64896823" w:rsidR="007D2C8E" w:rsidRDefault="00000000">
          <w:pPr>
            <w:pStyle w:val="TOC1"/>
            <w:tabs>
              <w:tab w:val="left" w:pos="407"/>
              <w:tab w:val="right" w:leader="dot" w:pos="9016"/>
            </w:tabs>
            <w:rPr>
              <w:rFonts w:eastAsiaTheme="minorEastAsia" w:cstheme="minorBidi"/>
              <w:b w:val="0"/>
              <w:bCs w:val="0"/>
              <w:caps w:val="0"/>
              <w:noProof/>
              <w:sz w:val="24"/>
              <w:szCs w:val="24"/>
              <w:u w:val="none"/>
              <w:lang w:eastAsia="en-GB"/>
            </w:rPr>
          </w:pPr>
          <w:hyperlink w:anchor="_Toc143850226" w:history="1">
            <w:r w:rsidR="007D2C8E" w:rsidRPr="00D840F7">
              <w:rPr>
                <w:rStyle w:val="Hyperlink"/>
                <w:noProof/>
                <w:lang w:val="fr-CA"/>
              </w:rPr>
              <w:t>3.</w:t>
            </w:r>
            <w:r w:rsidR="007D2C8E">
              <w:rPr>
                <w:rFonts w:eastAsiaTheme="minorEastAsia" w:cstheme="minorBidi"/>
                <w:b w:val="0"/>
                <w:bCs w:val="0"/>
                <w:caps w:val="0"/>
                <w:noProof/>
                <w:sz w:val="24"/>
                <w:szCs w:val="24"/>
                <w:u w:val="none"/>
                <w:lang w:eastAsia="en-GB"/>
              </w:rPr>
              <w:tab/>
            </w:r>
            <w:r w:rsidR="007D2C8E" w:rsidRPr="00D840F7">
              <w:rPr>
                <w:rStyle w:val="Hyperlink"/>
                <w:noProof/>
                <w:lang w:val="fr-CA"/>
              </w:rPr>
              <w:t>Ce qui est reproché au Commissaire à la déontologie policière</w:t>
            </w:r>
            <w:r w:rsidR="007D2C8E">
              <w:rPr>
                <w:noProof/>
                <w:webHidden/>
              </w:rPr>
              <w:tab/>
            </w:r>
            <w:r w:rsidR="007D2C8E">
              <w:rPr>
                <w:noProof/>
                <w:webHidden/>
              </w:rPr>
              <w:fldChar w:fldCharType="begin"/>
            </w:r>
            <w:r w:rsidR="007D2C8E">
              <w:rPr>
                <w:noProof/>
                <w:webHidden/>
              </w:rPr>
              <w:instrText xml:space="preserve"> PAGEREF _Toc143850226 \h </w:instrText>
            </w:r>
            <w:r w:rsidR="007D2C8E">
              <w:rPr>
                <w:noProof/>
                <w:webHidden/>
              </w:rPr>
            </w:r>
            <w:r w:rsidR="007D2C8E">
              <w:rPr>
                <w:noProof/>
                <w:webHidden/>
              </w:rPr>
              <w:fldChar w:fldCharType="separate"/>
            </w:r>
            <w:r w:rsidR="007D2C8E">
              <w:rPr>
                <w:noProof/>
                <w:webHidden/>
              </w:rPr>
              <w:t>4</w:t>
            </w:r>
            <w:r w:rsidR="007D2C8E">
              <w:rPr>
                <w:noProof/>
                <w:webHidden/>
              </w:rPr>
              <w:fldChar w:fldCharType="end"/>
            </w:r>
          </w:hyperlink>
        </w:p>
        <w:p w14:paraId="19B86F03" w14:textId="36218744" w:rsidR="007D2C8E" w:rsidRDefault="00000000">
          <w:pPr>
            <w:pStyle w:val="TOC1"/>
            <w:tabs>
              <w:tab w:val="left" w:pos="407"/>
              <w:tab w:val="right" w:leader="dot" w:pos="9016"/>
            </w:tabs>
            <w:rPr>
              <w:rFonts w:eastAsiaTheme="minorEastAsia" w:cstheme="minorBidi"/>
              <w:b w:val="0"/>
              <w:bCs w:val="0"/>
              <w:caps w:val="0"/>
              <w:noProof/>
              <w:sz w:val="24"/>
              <w:szCs w:val="24"/>
              <w:u w:val="none"/>
              <w:lang w:eastAsia="en-GB"/>
            </w:rPr>
          </w:pPr>
          <w:hyperlink w:anchor="_Toc143850227" w:history="1">
            <w:r w:rsidR="007D2C8E" w:rsidRPr="00D840F7">
              <w:rPr>
                <w:rStyle w:val="Hyperlink"/>
                <w:noProof/>
                <w:lang w:val="fr-CA"/>
              </w:rPr>
              <w:t>4.</w:t>
            </w:r>
            <w:r w:rsidR="007D2C8E">
              <w:rPr>
                <w:rFonts w:eastAsiaTheme="minorEastAsia" w:cstheme="minorBidi"/>
                <w:b w:val="0"/>
                <w:bCs w:val="0"/>
                <w:caps w:val="0"/>
                <w:noProof/>
                <w:sz w:val="24"/>
                <w:szCs w:val="24"/>
                <w:u w:val="none"/>
                <w:lang w:eastAsia="en-GB"/>
              </w:rPr>
              <w:tab/>
            </w:r>
            <w:r w:rsidR="007D2C8E" w:rsidRPr="00D840F7">
              <w:rPr>
                <w:rStyle w:val="Hyperlink"/>
                <w:noProof/>
                <w:lang w:val="fr-CA"/>
              </w:rPr>
              <w:t>Comment se débrouillent les autres provinces?</w:t>
            </w:r>
            <w:r w:rsidR="007D2C8E">
              <w:rPr>
                <w:noProof/>
                <w:webHidden/>
              </w:rPr>
              <w:tab/>
            </w:r>
            <w:r w:rsidR="007D2C8E">
              <w:rPr>
                <w:noProof/>
                <w:webHidden/>
              </w:rPr>
              <w:fldChar w:fldCharType="begin"/>
            </w:r>
            <w:r w:rsidR="007D2C8E">
              <w:rPr>
                <w:noProof/>
                <w:webHidden/>
              </w:rPr>
              <w:instrText xml:space="preserve"> PAGEREF _Toc143850227 \h </w:instrText>
            </w:r>
            <w:r w:rsidR="007D2C8E">
              <w:rPr>
                <w:noProof/>
                <w:webHidden/>
              </w:rPr>
            </w:r>
            <w:r w:rsidR="007D2C8E">
              <w:rPr>
                <w:noProof/>
                <w:webHidden/>
              </w:rPr>
              <w:fldChar w:fldCharType="separate"/>
            </w:r>
            <w:r w:rsidR="007D2C8E">
              <w:rPr>
                <w:noProof/>
                <w:webHidden/>
              </w:rPr>
              <w:t>6</w:t>
            </w:r>
            <w:r w:rsidR="007D2C8E">
              <w:rPr>
                <w:noProof/>
                <w:webHidden/>
              </w:rPr>
              <w:fldChar w:fldCharType="end"/>
            </w:r>
          </w:hyperlink>
        </w:p>
        <w:p w14:paraId="53879058" w14:textId="08AC916A" w:rsidR="007D2C8E" w:rsidRDefault="00000000">
          <w:pPr>
            <w:pStyle w:val="TOC2"/>
            <w:tabs>
              <w:tab w:val="left" w:pos="581"/>
              <w:tab w:val="right" w:leader="dot" w:pos="9016"/>
            </w:tabs>
            <w:rPr>
              <w:rFonts w:eastAsiaTheme="minorEastAsia" w:cstheme="minorBidi"/>
              <w:b w:val="0"/>
              <w:bCs w:val="0"/>
              <w:smallCaps w:val="0"/>
              <w:noProof/>
              <w:sz w:val="24"/>
              <w:szCs w:val="24"/>
              <w:lang w:eastAsia="en-GB"/>
            </w:rPr>
          </w:pPr>
          <w:hyperlink w:anchor="_Toc143850228" w:history="1">
            <w:r w:rsidR="007D2C8E" w:rsidRPr="00D840F7">
              <w:rPr>
                <w:rStyle w:val="Hyperlink"/>
                <w:noProof/>
                <w:lang w:val="fr-FR"/>
              </w:rPr>
              <w:t>4.1.</w:t>
            </w:r>
            <w:r w:rsidR="007D2C8E">
              <w:rPr>
                <w:rFonts w:eastAsiaTheme="minorEastAsia" w:cstheme="minorBidi"/>
                <w:b w:val="0"/>
                <w:bCs w:val="0"/>
                <w:smallCaps w:val="0"/>
                <w:noProof/>
                <w:sz w:val="24"/>
                <w:szCs w:val="24"/>
                <w:lang w:eastAsia="en-GB"/>
              </w:rPr>
              <w:tab/>
            </w:r>
            <w:r w:rsidR="007D2C8E" w:rsidRPr="00D840F7">
              <w:rPr>
                <w:rStyle w:val="Hyperlink"/>
                <w:noProof/>
                <w:lang w:val="fr-FR"/>
              </w:rPr>
              <w:t>Budget annuel ontarien sur l’année 2021-2022</w:t>
            </w:r>
            <w:r w:rsidR="007D2C8E">
              <w:rPr>
                <w:noProof/>
                <w:webHidden/>
              </w:rPr>
              <w:tab/>
            </w:r>
            <w:r w:rsidR="007D2C8E">
              <w:rPr>
                <w:noProof/>
                <w:webHidden/>
              </w:rPr>
              <w:fldChar w:fldCharType="begin"/>
            </w:r>
            <w:r w:rsidR="007D2C8E">
              <w:rPr>
                <w:noProof/>
                <w:webHidden/>
              </w:rPr>
              <w:instrText xml:space="preserve"> PAGEREF _Toc143850228 \h </w:instrText>
            </w:r>
            <w:r w:rsidR="007D2C8E">
              <w:rPr>
                <w:noProof/>
                <w:webHidden/>
              </w:rPr>
            </w:r>
            <w:r w:rsidR="007D2C8E">
              <w:rPr>
                <w:noProof/>
                <w:webHidden/>
              </w:rPr>
              <w:fldChar w:fldCharType="separate"/>
            </w:r>
            <w:r w:rsidR="007D2C8E">
              <w:rPr>
                <w:noProof/>
                <w:webHidden/>
              </w:rPr>
              <w:t>6</w:t>
            </w:r>
            <w:r w:rsidR="007D2C8E">
              <w:rPr>
                <w:noProof/>
                <w:webHidden/>
              </w:rPr>
              <w:fldChar w:fldCharType="end"/>
            </w:r>
          </w:hyperlink>
        </w:p>
        <w:p w14:paraId="12B95A09" w14:textId="77630CB5" w:rsidR="007D2C8E" w:rsidRDefault="00000000">
          <w:pPr>
            <w:pStyle w:val="TOC2"/>
            <w:tabs>
              <w:tab w:val="left" w:pos="581"/>
              <w:tab w:val="right" w:leader="dot" w:pos="9016"/>
            </w:tabs>
            <w:rPr>
              <w:rFonts w:eastAsiaTheme="minorEastAsia" w:cstheme="minorBidi"/>
              <w:b w:val="0"/>
              <w:bCs w:val="0"/>
              <w:smallCaps w:val="0"/>
              <w:noProof/>
              <w:sz w:val="24"/>
              <w:szCs w:val="24"/>
              <w:lang w:eastAsia="en-GB"/>
            </w:rPr>
          </w:pPr>
          <w:hyperlink w:anchor="_Toc143850229" w:history="1">
            <w:r w:rsidR="007D2C8E" w:rsidRPr="00D840F7">
              <w:rPr>
                <w:rStyle w:val="Hyperlink"/>
                <w:noProof/>
                <w:lang w:val="fr-FR"/>
              </w:rPr>
              <w:t>4.2.</w:t>
            </w:r>
            <w:r w:rsidR="007D2C8E">
              <w:rPr>
                <w:rFonts w:eastAsiaTheme="minorEastAsia" w:cstheme="minorBidi"/>
                <w:b w:val="0"/>
                <w:bCs w:val="0"/>
                <w:smallCaps w:val="0"/>
                <w:noProof/>
                <w:sz w:val="24"/>
                <w:szCs w:val="24"/>
                <w:lang w:eastAsia="en-GB"/>
              </w:rPr>
              <w:tab/>
            </w:r>
            <w:r w:rsidR="007D2C8E" w:rsidRPr="00D840F7">
              <w:rPr>
                <w:rStyle w:val="Hyperlink"/>
                <w:noProof/>
                <w:shd w:val="clear" w:color="auto" w:fill="FFFFFF"/>
                <w:lang w:val="fr-FR"/>
              </w:rPr>
              <w:t>Statistiques sur les plaintes en Ontario en 2021-2022 :</w:t>
            </w:r>
            <w:r w:rsidR="007D2C8E">
              <w:rPr>
                <w:noProof/>
                <w:webHidden/>
              </w:rPr>
              <w:tab/>
            </w:r>
            <w:r w:rsidR="007D2C8E">
              <w:rPr>
                <w:noProof/>
                <w:webHidden/>
              </w:rPr>
              <w:fldChar w:fldCharType="begin"/>
            </w:r>
            <w:r w:rsidR="007D2C8E">
              <w:rPr>
                <w:noProof/>
                <w:webHidden/>
              </w:rPr>
              <w:instrText xml:space="preserve"> PAGEREF _Toc143850229 \h </w:instrText>
            </w:r>
            <w:r w:rsidR="007D2C8E">
              <w:rPr>
                <w:noProof/>
                <w:webHidden/>
              </w:rPr>
            </w:r>
            <w:r w:rsidR="007D2C8E">
              <w:rPr>
                <w:noProof/>
                <w:webHidden/>
              </w:rPr>
              <w:fldChar w:fldCharType="separate"/>
            </w:r>
            <w:r w:rsidR="007D2C8E">
              <w:rPr>
                <w:noProof/>
                <w:webHidden/>
              </w:rPr>
              <w:t>6</w:t>
            </w:r>
            <w:r w:rsidR="007D2C8E">
              <w:rPr>
                <w:noProof/>
                <w:webHidden/>
              </w:rPr>
              <w:fldChar w:fldCharType="end"/>
            </w:r>
          </w:hyperlink>
        </w:p>
        <w:p w14:paraId="6BBFCB7B" w14:textId="6DA25FFA" w:rsidR="007D2C8E" w:rsidRDefault="00000000">
          <w:pPr>
            <w:pStyle w:val="TOC1"/>
            <w:tabs>
              <w:tab w:val="left" w:pos="408"/>
              <w:tab w:val="right" w:leader="dot" w:pos="9016"/>
            </w:tabs>
            <w:rPr>
              <w:rFonts w:eastAsiaTheme="minorEastAsia" w:cstheme="minorBidi"/>
              <w:b w:val="0"/>
              <w:bCs w:val="0"/>
              <w:caps w:val="0"/>
              <w:noProof/>
              <w:sz w:val="24"/>
              <w:szCs w:val="24"/>
              <w:u w:val="none"/>
              <w:lang w:eastAsia="en-GB"/>
            </w:rPr>
          </w:pPr>
          <w:hyperlink w:anchor="_Toc143850230" w:history="1">
            <w:r w:rsidR="007D2C8E" w:rsidRPr="00D840F7">
              <w:rPr>
                <w:rStyle w:val="Hyperlink"/>
                <w:noProof/>
                <w:lang w:val="fr-FR"/>
              </w:rPr>
              <w:t>5.</w:t>
            </w:r>
            <w:r w:rsidR="007D2C8E">
              <w:rPr>
                <w:rFonts w:eastAsiaTheme="minorEastAsia" w:cstheme="minorBidi"/>
                <w:b w:val="0"/>
                <w:bCs w:val="0"/>
                <w:caps w:val="0"/>
                <w:noProof/>
                <w:sz w:val="24"/>
                <w:szCs w:val="24"/>
                <w:u w:val="none"/>
                <w:lang w:eastAsia="en-GB"/>
              </w:rPr>
              <w:tab/>
            </w:r>
            <w:r w:rsidR="007D2C8E" w:rsidRPr="00D840F7">
              <w:rPr>
                <w:rStyle w:val="Hyperlink"/>
                <w:noProof/>
                <w:lang w:val="fr-FR"/>
              </w:rPr>
              <w:t>Qu’est-ce que le projet de loi 14 ?</w:t>
            </w:r>
            <w:r w:rsidR="007D2C8E">
              <w:rPr>
                <w:noProof/>
                <w:webHidden/>
              </w:rPr>
              <w:tab/>
            </w:r>
            <w:r w:rsidR="007D2C8E">
              <w:rPr>
                <w:noProof/>
                <w:webHidden/>
              </w:rPr>
              <w:fldChar w:fldCharType="begin"/>
            </w:r>
            <w:r w:rsidR="007D2C8E">
              <w:rPr>
                <w:noProof/>
                <w:webHidden/>
              </w:rPr>
              <w:instrText xml:space="preserve"> PAGEREF _Toc143850230 \h </w:instrText>
            </w:r>
            <w:r w:rsidR="007D2C8E">
              <w:rPr>
                <w:noProof/>
                <w:webHidden/>
              </w:rPr>
            </w:r>
            <w:r w:rsidR="007D2C8E">
              <w:rPr>
                <w:noProof/>
                <w:webHidden/>
              </w:rPr>
              <w:fldChar w:fldCharType="separate"/>
            </w:r>
            <w:r w:rsidR="007D2C8E">
              <w:rPr>
                <w:noProof/>
                <w:webHidden/>
              </w:rPr>
              <w:t>8</w:t>
            </w:r>
            <w:r w:rsidR="007D2C8E">
              <w:rPr>
                <w:noProof/>
                <w:webHidden/>
              </w:rPr>
              <w:fldChar w:fldCharType="end"/>
            </w:r>
          </w:hyperlink>
        </w:p>
        <w:p w14:paraId="37EE2113" w14:textId="553BCEC9" w:rsidR="007D2C8E" w:rsidRDefault="00000000">
          <w:pPr>
            <w:pStyle w:val="TOC1"/>
            <w:tabs>
              <w:tab w:val="left" w:pos="408"/>
              <w:tab w:val="right" w:leader="dot" w:pos="9016"/>
            </w:tabs>
            <w:rPr>
              <w:rFonts w:eastAsiaTheme="minorEastAsia" w:cstheme="minorBidi"/>
              <w:b w:val="0"/>
              <w:bCs w:val="0"/>
              <w:caps w:val="0"/>
              <w:noProof/>
              <w:sz w:val="24"/>
              <w:szCs w:val="24"/>
              <w:u w:val="none"/>
              <w:lang w:eastAsia="en-GB"/>
            </w:rPr>
          </w:pPr>
          <w:hyperlink w:anchor="_Toc143850231" w:history="1">
            <w:r w:rsidR="007D2C8E" w:rsidRPr="00D840F7">
              <w:rPr>
                <w:rStyle w:val="Hyperlink"/>
                <w:noProof/>
                <w:lang w:val="fr-FR"/>
              </w:rPr>
              <w:t>6.</w:t>
            </w:r>
            <w:r w:rsidR="007D2C8E">
              <w:rPr>
                <w:rFonts w:eastAsiaTheme="minorEastAsia" w:cstheme="minorBidi"/>
                <w:b w:val="0"/>
                <w:bCs w:val="0"/>
                <w:caps w:val="0"/>
                <w:noProof/>
                <w:sz w:val="24"/>
                <w:szCs w:val="24"/>
                <w:u w:val="none"/>
                <w:lang w:eastAsia="en-GB"/>
              </w:rPr>
              <w:tab/>
            </w:r>
            <w:r w:rsidR="007D2C8E" w:rsidRPr="00D840F7">
              <w:rPr>
                <w:rStyle w:val="Hyperlink"/>
                <w:noProof/>
                <w:lang w:val="fr-FR"/>
              </w:rPr>
              <w:t>Qu’est-ce qui est reproché au projet de loi 14 ?</w:t>
            </w:r>
            <w:r w:rsidR="007D2C8E">
              <w:rPr>
                <w:noProof/>
                <w:webHidden/>
              </w:rPr>
              <w:tab/>
            </w:r>
            <w:r w:rsidR="007D2C8E">
              <w:rPr>
                <w:noProof/>
                <w:webHidden/>
              </w:rPr>
              <w:fldChar w:fldCharType="begin"/>
            </w:r>
            <w:r w:rsidR="007D2C8E">
              <w:rPr>
                <w:noProof/>
                <w:webHidden/>
              </w:rPr>
              <w:instrText xml:space="preserve"> PAGEREF _Toc143850231 \h </w:instrText>
            </w:r>
            <w:r w:rsidR="007D2C8E">
              <w:rPr>
                <w:noProof/>
                <w:webHidden/>
              </w:rPr>
            </w:r>
            <w:r w:rsidR="007D2C8E">
              <w:rPr>
                <w:noProof/>
                <w:webHidden/>
              </w:rPr>
              <w:fldChar w:fldCharType="separate"/>
            </w:r>
            <w:r w:rsidR="007D2C8E">
              <w:rPr>
                <w:noProof/>
                <w:webHidden/>
              </w:rPr>
              <w:t>8</w:t>
            </w:r>
            <w:r w:rsidR="007D2C8E">
              <w:rPr>
                <w:noProof/>
                <w:webHidden/>
              </w:rPr>
              <w:fldChar w:fldCharType="end"/>
            </w:r>
          </w:hyperlink>
        </w:p>
        <w:p w14:paraId="4577A540" w14:textId="233DE172" w:rsidR="007D2C8E" w:rsidRDefault="00000000">
          <w:pPr>
            <w:pStyle w:val="TOC2"/>
            <w:tabs>
              <w:tab w:val="left" w:pos="522"/>
              <w:tab w:val="right" w:leader="dot" w:pos="9016"/>
            </w:tabs>
            <w:rPr>
              <w:rFonts w:eastAsiaTheme="minorEastAsia" w:cstheme="minorBidi"/>
              <w:b w:val="0"/>
              <w:bCs w:val="0"/>
              <w:smallCaps w:val="0"/>
              <w:noProof/>
              <w:sz w:val="24"/>
              <w:szCs w:val="24"/>
              <w:lang w:eastAsia="en-GB"/>
            </w:rPr>
          </w:pPr>
          <w:hyperlink w:anchor="_Toc143850232" w:history="1">
            <w:r w:rsidR="007D2C8E" w:rsidRPr="00D840F7">
              <w:rPr>
                <w:rStyle w:val="Hyperlink"/>
                <w:noProof/>
                <w:lang w:val="fr-FR"/>
              </w:rPr>
              <w:t>6.1</w:t>
            </w:r>
            <w:r w:rsidR="007D2C8E">
              <w:rPr>
                <w:rFonts w:eastAsiaTheme="minorEastAsia" w:cstheme="minorBidi"/>
                <w:b w:val="0"/>
                <w:bCs w:val="0"/>
                <w:smallCaps w:val="0"/>
                <w:noProof/>
                <w:sz w:val="24"/>
                <w:szCs w:val="24"/>
                <w:lang w:eastAsia="en-GB"/>
              </w:rPr>
              <w:tab/>
            </w:r>
            <w:r w:rsidR="007D2C8E" w:rsidRPr="00D840F7">
              <w:rPr>
                <w:rStyle w:val="Hyperlink"/>
                <w:noProof/>
                <w:lang w:val="fr-FR"/>
              </w:rPr>
              <w:t>Ce qui n’est pas modifié par le projet de loi 14</w:t>
            </w:r>
            <w:r w:rsidR="007D2C8E">
              <w:rPr>
                <w:noProof/>
                <w:webHidden/>
              </w:rPr>
              <w:tab/>
            </w:r>
            <w:r w:rsidR="007D2C8E">
              <w:rPr>
                <w:noProof/>
                <w:webHidden/>
              </w:rPr>
              <w:fldChar w:fldCharType="begin"/>
            </w:r>
            <w:r w:rsidR="007D2C8E">
              <w:rPr>
                <w:noProof/>
                <w:webHidden/>
              </w:rPr>
              <w:instrText xml:space="preserve"> PAGEREF _Toc143850232 \h </w:instrText>
            </w:r>
            <w:r w:rsidR="007D2C8E">
              <w:rPr>
                <w:noProof/>
                <w:webHidden/>
              </w:rPr>
            </w:r>
            <w:r w:rsidR="007D2C8E">
              <w:rPr>
                <w:noProof/>
                <w:webHidden/>
              </w:rPr>
              <w:fldChar w:fldCharType="separate"/>
            </w:r>
            <w:r w:rsidR="007D2C8E">
              <w:rPr>
                <w:noProof/>
                <w:webHidden/>
              </w:rPr>
              <w:t>8</w:t>
            </w:r>
            <w:r w:rsidR="007D2C8E">
              <w:rPr>
                <w:noProof/>
                <w:webHidden/>
              </w:rPr>
              <w:fldChar w:fldCharType="end"/>
            </w:r>
          </w:hyperlink>
        </w:p>
        <w:p w14:paraId="1A0B6FCE" w14:textId="56780FF2" w:rsidR="007D2C8E" w:rsidRDefault="00000000">
          <w:pPr>
            <w:pStyle w:val="TOC2"/>
            <w:tabs>
              <w:tab w:val="left" w:pos="522"/>
              <w:tab w:val="right" w:leader="dot" w:pos="9016"/>
            </w:tabs>
            <w:rPr>
              <w:rFonts w:eastAsiaTheme="minorEastAsia" w:cstheme="minorBidi"/>
              <w:b w:val="0"/>
              <w:bCs w:val="0"/>
              <w:smallCaps w:val="0"/>
              <w:noProof/>
              <w:sz w:val="24"/>
              <w:szCs w:val="24"/>
              <w:lang w:eastAsia="en-GB"/>
            </w:rPr>
          </w:pPr>
          <w:hyperlink w:anchor="_Toc143850233" w:history="1">
            <w:r w:rsidR="007D2C8E" w:rsidRPr="00D840F7">
              <w:rPr>
                <w:rStyle w:val="Hyperlink"/>
                <w:noProof/>
                <w:lang w:val="fr-FR"/>
              </w:rPr>
              <w:t>6.2</w:t>
            </w:r>
            <w:r w:rsidR="007D2C8E">
              <w:rPr>
                <w:rFonts w:eastAsiaTheme="minorEastAsia" w:cstheme="minorBidi"/>
                <w:b w:val="0"/>
                <w:bCs w:val="0"/>
                <w:smallCaps w:val="0"/>
                <w:noProof/>
                <w:sz w:val="24"/>
                <w:szCs w:val="24"/>
                <w:lang w:eastAsia="en-GB"/>
              </w:rPr>
              <w:tab/>
            </w:r>
            <w:r w:rsidR="007D2C8E" w:rsidRPr="00D840F7">
              <w:rPr>
                <w:rStyle w:val="Hyperlink"/>
                <w:noProof/>
                <w:lang w:val="fr-FR"/>
              </w:rPr>
              <w:t>Ce qui est modifié par le projet de loi 14, mais qui n’est pas bon</w:t>
            </w:r>
            <w:r w:rsidR="007D2C8E">
              <w:rPr>
                <w:noProof/>
                <w:webHidden/>
              </w:rPr>
              <w:tab/>
            </w:r>
            <w:r w:rsidR="007D2C8E">
              <w:rPr>
                <w:noProof/>
                <w:webHidden/>
              </w:rPr>
              <w:fldChar w:fldCharType="begin"/>
            </w:r>
            <w:r w:rsidR="007D2C8E">
              <w:rPr>
                <w:noProof/>
                <w:webHidden/>
              </w:rPr>
              <w:instrText xml:space="preserve"> PAGEREF _Toc143850233 \h </w:instrText>
            </w:r>
            <w:r w:rsidR="007D2C8E">
              <w:rPr>
                <w:noProof/>
                <w:webHidden/>
              </w:rPr>
            </w:r>
            <w:r w:rsidR="007D2C8E">
              <w:rPr>
                <w:noProof/>
                <w:webHidden/>
              </w:rPr>
              <w:fldChar w:fldCharType="separate"/>
            </w:r>
            <w:r w:rsidR="007D2C8E">
              <w:rPr>
                <w:noProof/>
                <w:webHidden/>
              </w:rPr>
              <w:t>9</w:t>
            </w:r>
            <w:r w:rsidR="007D2C8E">
              <w:rPr>
                <w:noProof/>
                <w:webHidden/>
              </w:rPr>
              <w:fldChar w:fldCharType="end"/>
            </w:r>
          </w:hyperlink>
        </w:p>
        <w:p w14:paraId="43CCE65C" w14:textId="6C554F9A" w:rsidR="007D2C8E" w:rsidRDefault="00000000">
          <w:pPr>
            <w:pStyle w:val="TOC1"/>
            <w:tabs>
              <w:tab w:val="left" w:pos="407"/>
              <w:tab w:val="right" w:leader="dot" w:pos="9016"/>
            </w:tabs>
            <w:rPr>
              <w:rFonts w:eastAsiaTheme="minorEastAsia" w:cstheme="minorBidi"/>
              <w:b w:val="0"/>
              <w:bCs w:val="0"/>
              <w:caps w:val="0"/>
              <w:noProof/>
              <w:sz w:val="24"/>
              <w:szCs w:val="24"/>
              <w:u w:val="none"/>
              <w:lang w:eastAsia="en-GB"/>
            </w:rPr>
          </w:pPr>
          <w:hyperlink w:anchor="_Toc143850234" w:history="1">
            <w:r w:rsidR="007D2C8E" w:rsidRPr="00D840F7">
              <w:rPr>
                <w:rStyle w:val="Hyperlink"/>
                <w:noProof/>
                <w:lang w:val="fr-FR"/>
              </w:rPr>
              <w:t>7.</w:t>
            </w:r>
            <w:r w:rsidR="007D2C8E">
              <w:rPr>
                <w:rFonts w:eastAsiaTheme="minorEastAsia" w:cstheme="minorBidi"/>
                <w:b w:val="0"/>
                <w:bCs w:val="0"/>
                <w:caps w:val="0"/>
                <w:noProof/>
                <w:sz w:val="24"/>
                <w:szCs w:val="24"/>
                <w:u w:val="none"/>
                <w:lang w:eastAsia="en-GB"/>
              </w:rPr>
              <w:tab/>
            </w:r>
            <w:r w:rsidR="007D2C8E" w:rsidRPr="00D840F7">
              <w:rPr>
                <w:rStyle w:val="Hyperlink"/>
                <w:noProof/>
                <w:lang w:val="fr-FR"/>
              </w:rPr>
              <w:t>Ce qui est positif dans le projet de loi 14</w:t>
            </w:r>
            <w:r w:rsidR="007D2C8E">
              <w:rPr>
                <w:noProof/>
                <w:webHidden/>
              </w:rPr>
              <w:tab/>
            </w:r>
            <w:r w:rsidR="007D2C8E">
              <w:rPr>
                <w:noProof/>
                <w:webHidden/>
              </w:rPr>
              <w:fldChar w:fldCharType="begin"/>
            </w:r>
            <w:r w:rsidR="007D2C8E">
              <w:rPr>
                <w:noProof/>
                <w:webHidden/>
              </w:rPr>
              <w:instrText xml:space="preserve"> PAGEREF _Toc143850234 \h </w:instrText>
            </w:r>
            <w:r w:rsidR="007D2C8E">
              <w:rPr>
                <w:noProof/>
                <w:webHidden/>
              </w:rPr>
            </w:r>
            <w:r w:rsidR="007D2C8E">
              <w:rPr>
                <w:noProof/>
                <w:webHidden/>
              </w:rPr>
              <w:fldChar w:fldCharType="separate"/>
            </w:r>
            <w:r w:rsidR="007D2C8E">
              <w:rPr>
                <w:noProof/>
                <w:webHidden/>
              </w:rPr>
              <w:t>10</w:t>
            </w:r>
            <w:r w:rsidR="007D2C8E">
              <w:rPr>
                <w:noProof/>
                <w:webHidden/>
              </w:rPr>
              <w:fldChar w:fldCharType="end"/>
            </w:r>
          </w:hyperlink>
        </w:p>
        <w:p w14:paraId="26AE3DED" w14:textId="5EC60DAF" w:rsidR="007D2C8E" w:rsidRDefault="00000000">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143850235" w:history="1">
            <w:r w:rsidR="007D2C8E" w:rsidRPr="00D840F7">
              <w:rPr>
                <w:rStyle w:val="Hyperlink"/>
                <w:noProof/>
                <w:lang w:val="fr-CA"/>
              </w:rPr>
              <w:t>8.</w:t>
            </w:r>
            <w:r w:rsidR="007D2C8E">
              <w:rPr>
                <w:rFonts w:eastAsiaTheme="minorEastAsia" w:cstheme="minorBidi"/>
                <w:b w:val="0"/>
                <w:bCs w:val="0"/>
                <w:caps w:val="0"/>
                <w:noProof/>
                <w:sz w:val="24"/>
                <w:szCs w:val="24"/>
                <w:u w:val="none"/>
                <w:lang w:eastAsia="en-GB"/>
              </w:rPr>
              <w:tab/>
            </w:r>
            <w:r w:rsidR="007D2C8E" w:rsidRPr="00D840F7">
              <w:rPr>
                <w:rStyle w:val="Hyperlink"/>
                <w:noProof/>
                <w:lang w:val="fr-CA"/>
              </w:rPr>
              <w:t>La problématique budgétaire du Commissaire à la déontologie policière</w:t>
            </w:r>
            <w:r w:rsidR="007D2C8E">
              <w:rPr>
                <w:noProof/>
                <w:webHidden/>
              </w:rPr>
              <w:tab/>
            </w:r>
            <w:r w:rsidR="007D2C8E">
              <w:rPr>
                <w:noProof/>
                <w:webHidden/>
              </w:rPr>
              <w:fldChar w:fldCharType="begin"/>
            </w:r>
            <w:r w:rsidR="007D2C8E">
              <w:rPr>
                <w:noProof/>
                <w:webHidden/>
              </w:rPr>
              <w:instrText xml:space="preserve"> PAGEREF _Toc143850235 \h </w:instrText>
            </w:r>
            <w:r w:rsidR="007D2C8E">
              <w:rPr>
                <w:noProof/>
                <w:webHidden/>
              </w:rPr>
            </w:r>
            <w:r w:rsidR="007D2C8E">
              <w:rPr>
                <w:noProof/>
                <w:webHidden/>
              </w:rPr>
              <w:fldChar w:fldCharType="separate"/>
            </w:r>
            <w:r w:rsidR="007D2C8E">
              <w:rPr>
                <w:noProof/>
                <w:webHidden/>
              </w:rPr>
              <w:t>11</w:t>
            </w:r>
            <w:r w:rsidR="007D2C8E">
              <w:rPr>
                <w:noProof/>
                <w:webHidden/>
              </w:rPr>
              <w:fldChar w:fldCharType="end"/>
            </w:r>
          </w:hyperlink>
        </w:p>
        <w:p w14:paraId="058A7329" w14:textId="090F0D12" w:rsidR="007D2C8E" w:rsidRDefault="00000000">
          <w:pPr>
            <w:pStyle w:val="TOC2"/>
            <w:tabs>
              <w:tab w:val="left" w:pos="522"/>
              <w:tab w:val="right" w:leader="dot" w:pos="9016"/>
            </w:tabs>
            <w:rPr>
              <w:rFonts w:eastAsiaTheme="minorEastAsia" w:cstheme="minorBidi"/>
              <w:b w:val="0"/>
              <w:bCs w:val="0"/>
              <w:smallCaps w:val="0"/>
              <w:noProof/>
              <w:sz w:val="24"/>
              <w:szCs w:val="24"/>
              <w:lang w:eastAsia="en-GB"/>
            </w:rPr>
          </w:pPr>
          <w:hyperlink w:anchor="_Toc143850236" w:history="1">
            <w:r w:rsidR="007D2C8E" w:rsidRPr="00D840F7">
              <w:rPr>
                <w:rStyle w:val="Hyperlink"/>
                <w:noProof/>
                <w:lang w:val="fr-CA"/>
              </w:rPr>
              <w:t>8.1</w:t>
            </w:r>
            <w:r w:rsidR="007D2C8E">
              <w:rPr>
                <w:rFonts w:eastAsiaTheme="minorEastAsia" w:cstheme="minorBidi"/>
                <w:b w:val="0"/>
                <w:bCs w:val="0"/>
                <w:smallCaps w:val="0"/>
                <w:noProof/>
                <w:sz w:val="24"/>
                <w:szCs w:val="24"/>
                <w:lang w:eastAsia="en-GB"/>
              </w:rPr>
              <w:tab/>
            </w:r>
            <w:r w:rsidR="007D2C8E" w:rsidRPr="00D840F7">
              <w:rPr>
                <w:rStyle w:val="Hyperlink"/>
                <w:noProof/>
                <w:lang w:val="fr-CA"/>
              </w:rPr>
              <w:t>Augmentation constante du nombre de plaintes.</w:t>
            </w:r>
            <w:r w:rsidR="007D2C8E">
              <w:rPr>
                <w:noProof/>
                <w:webHidden/>
              </w:rPr>
              <w:tab/>
            </w:r>
            <w:r w:rsidR="007D2C8E">
              <w:rPr>
                <w:noProof/>
                <w:webHidden/>
              </w:rPr>
              <w:fldChar w:fldCharType="begin"/>
            </w:r>
            <w:r w:rsidR="007D2C8E">
              <w:rPr>
                <w:noProof/>
                <w:webHidden/>
              </w:rPr>
              <w:instrText xml:space="preserve"> PAGEREF _Toc143850236 \h </w:instrText>
            </w:r>
            <w:r w:rsidR="007D2C8E">
              <w:rPr>
                <w:noProof/>
                <w:webHidden/>
              </w:rPr>
            </w:r>
            <w:r w:rsidR="007D2C8E">
              <w:rPr>
                <w:noProof/>
                <w:webHidden/>
              </w:rPr>
              <w:fldChar w:fldCharType="separate"/>
            </w:r>
            <w:r w:rsidR="007D2C8E">
              <w:rPr>
                <w:noProof/>
                <w:webHidden/>
              </w:rPr>
              <w:t>12</w:t>
            </w:r>
            <w:r w:rsidR="007D2C8E">
              <w:rPr>
                <w:noProof/>
                <w:webHidden/>
              </w:rPr>
              <w:fldChar w:fldCharType="end"/>
            </w:r>
          </w:hyperlink>
        </w:p>
        <w:p w14:paraId="2B709901" w14:textId="03E49FB0" w:rsidR="007D2C8E" w:rsidRDefault="00000000">
          <w:pPr>
            <w:pStyle w:val="TOC2"/>
            <w:tabs>
              <w:tab w:val="left" w:pos="522"/>
              <w:tab w:val="right" w:leader="dot" w:pos="9016"/>
            </w:tabs>
            <w:rPr>
              <w:rFonts w:eastAsiaTheme="minorEastAsia" w:cstheme="minorBidi"/>
              <w:b w:val="0"/>
              <w:bCs w:val="0"/>
              <w:smallCaps w:val="0"/>
              <w:noProof/>
              <w:sz w:val="24"/>
              <w:szCs w:val="24"/>
              <w:lang w:eastAsia="en-GB"/>
            </w:rPr>
          </w:pPr>
          <w:hyperlink w:anchor="_Toc143850237" w:history="1">
            <w:r w:rsidR="007D2C8E" w:rsidRPr="00D840F7">
              <w:rPr>
                <w:rStyle w:val="Hyperlink"/>
                <w:noProof/>
                <w:lang w:val="fr-FR"/>
              </w:rPr>
              <w:t>8.2</w:t>
            </w:r>
            <w:r w:rsidR="007D2C8E">
              <w:rPr>
                <w:rFonts w:eastAsiaTheme="minorEastAsia" w:cstheme="minorBidi"/>
                <w:b w:val="0"/>
                <w:bCs w:val="0"/>
                <w:smallCaps w:val="0"/>
                <w:noProof/>
                <w:sz w:val="24"/>
                <w:szCs w:val="24"/>
                <w:lang w:eastAsia="en-GB"/>
              </w:rPr>
              <w:tab/>
            </w:r>
            <w:r w:rsidR="007D2C8E" w:rsidRPr="00D840F7">
              <w:rPr>
                <w:rStyle w:val="Hyperlink"/>
                <w:noProof/>
                <w:lang w:val="fr-FR"/>
              </w:rPr>
              <w:t>Exemple du manque de moyen au Commissaire ainsi qu’au Comité</w:t>
            </w:r>
            <w:r w:rsidR="007D2C8E">
              <w:rPr>
                <w:noProof/>
                <w:webHidden/>
              </w:rPr>
              <w:tab/>
            </w:r>
            <w:r w:rsidR="007D2C8E">
              <w:rPr>
                <w:noProof/>
                <w:webHidden/>
              </w:rPr>
              <w:fldChar w:fldCharType="begin"/>
            </w:r>
            <w:r w:rsidR="007D2C8E">
              <w:rPr>
                <w:noProof/>
                <w:webHidden/>
              </w:rPr>
              <w:instrText xml:space="preserve"> PAGEREF _Toc143850237 \h </w:instrText>
            </w:r>
            <w:r w:rsidR="007D2C8E">
              <w:rPr>
                <w:noProof/>
                <w:webHidden/>
              </w:rPr>
            </w:r>
            <w:r w:rsidR="007D2C8E">
              <w:rPr>
                <w:noProof/>
                <w:webHidden/>
              </w:rPr>
              <w:fldChar w:fldCharType="separate"/>
            </w:r>
            <w:r w:rsidR="007D2C8E">
              <w:rPr>
                <w:noProof/>
                <w:webHidden/>
              </w:rPr>
              <w:t>13</w:t>
            </w:r>
            <w:r w:rsidR="007D2C8E">
              <w:rPr>
                <w:noProof/>
                <w:webHidden/>
              </w:rPr>
              <w:fldChar w:fldCharType="end"/>
            </w:r>
          </w:hyperlink>
        </w:p>
        <w:p w14:paraId="0BC385A0" w14:textId="19AA7C2E" w:rsidR="00455669" w:rsidRDefault="00455669">
          <w:r w:rsidRPr="0064159B">
            <w:rPr>
              <w:noProof/>
              <w:sz w:val="36"/>
              <w:szCs w:val="36"/>
            </w:rPr>
            <w:fldChar w:fldCharType="end"/>
          </w:r>
        </w:p>
      </w:sdtContent>
    </w:sdt>
    <w:p w14:paraId="7CC067A0" w14:textId="77777777" w:rsidR="00DD0D56" w:rsidRDefault="00DD0D56" w:rsidP="000427D1">
      <w:pPr>
        <w:spacing w:line="360" w:lineRule="auto"/>
        <w:jc w:val="both"/>
        <w:rPr>
          <w:u w:val="single"/>
          <w:lang w:val="fr-CA"/>
        </w:rPr>
      </w:pPr>
    </w:p>
    <w:p w14:paraId="49D79AAF" w14:textId="77777777" w:rsidR="00DD0D56" w:rsidRDefault="00DD0D56" w:rsidP="000427D1">
      <w:pPr>
        <w:spacing w:line="360" w:lineRule="auto"/>
        <w:jc w:val="both"/>
        <w:rPr>
          <w:u w:val="single"/>
          <w:lang w:val="fr-CA"/>
        </w:rPr>
      </w:pPr>
    </w:p>
    <w:p w14:paraId="51069198" w14:textId="77777777" w:rsidR="00DD0D56" w:rsidRDefault="00DD0D56" w:rsidP="000427D1">
      <w:pPr>
        <w:spacing w:line="360" w:lineRule="auto"/>
        <w:jc w:val="both"/>
        <w:rPr>
          <w:u w:val="single"/>
          <w:lang w:val="fr-CA"/>
        </w:rPr>
      </w:pPr>
    </w:p>
    <w:p w14:paraId="7480CF75" w14:textId="77777777" w:rsidR="00303324" w:rsidRDefault="00303324" w:rsidP="000427D1">
      <w:pPr>
        <w:spacing w:line="360" w:lineRule="auto"/>
        <w:jc w:val="both"/>
        <w:rPr>
          <w:u w:val="single"/>
          <w:lang w:val="fr-CA"/>
        </w:rPr>
      </w:pPr>
    </w:p>
    <w:p w14:paraId="00ACBD32" w14:textId="77777777" w:rsidR="00303324" w:rsidRDefault="00303324" w:rsidP="000427D1">
      <w:pPr>
        <w:spacing w:line="360" w:lineRule="auto"/>
        <w:jc w:val="both"/>
        <w:rPr>
          <w:u w:val="single"/>
          <w:lang w:val="fr-CA"/>
        </w:rPr>
      </w:pPr>
    </w:p>
    <w:p w14:paraId="04A82336" w14:textId="77777777" w:rsidR="00303324" w:rsidRDefault="00303324" w:rsidP="000427D1">
      <w:pPr>
        <w:spacing w:line="360" w:lineRule="auto"/>
        <w:jc w:val="both"/>
        <w:rPr>
          <w:u w:val="single"/>
          <w:lang w:val="fr-CA"/>
        </w:rPr>
      </w:pPr>
    </w:p>
    <w:p w14:paraId="2D2C10AF" w14:textId="77777777" w:rsidR="00DD0D56" w:rsidRDefault="00DD0D56" w:rsidP="000427D1">
      <w:pPr>
        <w:spacing w:line="360" w:lineRule="auto"/>
        <w:jc w:val="both"/>
        <w:rPr>
          <w:u w:val="single"/>
          <w:lang w:val="fr-CA"/>
        </w:rPr>
      </w:pPr>
    </w:p>
    <w:p w14:paraId="46602B57" w14:textId="77777777" w:rsidR="00DD0D56" w:rsidRPr="000427D1" w:rsidRDefault="00DD0D56" w:rsidP="000427D1">
      <w:pPr>
        <w:spacing w:line="360" w:lineRule="auto"/>
        <w:jc w:val="both"/>
        <w:rPr>
          <w:u w:val="single"/>
          <w:lang w:val="fr-CA"/>
        </w:rPr>
      </w:pPr>
    </w:p>
    <w:p w14:paraId="64C8200D" w14:textId="38769755" w:rsidR="00BB2B80" w:rsidRPr="000427D1" w:rsidRDefault="0041270A" w:rsidP="000427D1">
      <w:pPr>
        <w:pStyle w:val="Heading1"/>
        <w:numPr>
          <w:ilvl w:val="0"/>
          <w:numId w:val="6"/>
        </w:numPr>
        <w:jc w:val="center"/>
        <w:rPr>
          <w:u w:val="single"/>
          <w:lang w:val="fr-CA"/>
        </w:rPr>
      </w:pPr>
      <w:bookmarkStart w:id="0" w:name="_Toc143850224"/>
      <w:r w:rsidRPr="000427D1">
        <w:rPr>
          <w:u w:val="single"/>
          <w:lang w:val="fr-CA"/>
        </w:rPr>
        <w:lastRenderedPageBreak/>
        <w:t>Qu’est-ce que l</w:t>
      </w:r>
      <w:r w:rsidR="00BB2B80" w:rsidRPr="000427D1">
        <w:rPr>
          <w:u w:val="single"/>
          <w:lang w:val="fr-CA"/>
        </w:rPr>
        <w:t xml:space="preserve">e Commissaire à la déontologie </w:t>
      </w:r>
      <w:r w:rsidR="003D4264">
        <w:rPr>
          <w:u w:val="single"/>
          <w:lang w:val="fr-CA"/>
        </w:rPr>
        <w:t>p</w:t>
      </w:r>
      <w:r w:rsidR="00BB2B80" w:rsidRPr="000427D1">
        <w:rPr>
          <w:u w:val="single"/>
          <w:lang w:val="fr-CA"/>
        </w:rPr>
        <w:t>olicière</w:t>
      </w:r>
      <w:r w:rsidRPr="000427D1">
        <w:rPr>
          <w:u w:val="single"/>
          <w:lang w:val="fr-CA"/>
        </w:rPr>
        <w:t>?</w:t>
      </w:r>
      <w:bookmarkEnd w:id="0"/>
    </w:p>
    <w:p w14:paraId="3AA24AAA" w14:textId="77777777" w:rsidR="009466B4" w:rsidRPr="00D133CC" w:rsidRDefault="009466B4" w:rsidP="00CE33F7">
      <w:pPr>
        <w:spacing w:line="360" w:lineRule="auto"/>
        <w:jc w:val="center"/>
        <w:rPr>
          <w:sz w:val="28"/>
          <w:szCs w:val="28"/>
          <w:u w:val="single"/>
          <w:lang w:val="fr-CA"/>
        </w:rPr>
      </w:pPr>
    </w:p>
    <w:p w14:paraId="59B467AF" w14:textId="25540404" w:rsidR="00F660BB" w:rsidRPr="00F660BB" w:rsidRDefault="00D133CC" w:rsidP="00F660BB">
      <w:pPr>
        <w:spacing w:line="360" w:lineRule="auto"/>
        <w:jc w:val="both"/>
        <w:rPr>
          <w:lang w:val="fr-CA"/>
        </w:rPr>
      </w:pPr>
      <w:r w:rsidRPr="00D133CC">
        <w:rPr>
          <w:lang w:val="fr-CA"/>
        </w:rPr>
        <w:t xml:space="preserve">Le commissaire à la </w:t>
      </w:r>
      <w:r w:rsidR="005F4A68">
        <w:rPr>
          <w:lang w:val="fr-CA"/>
        </w:rPr>
        <w:t>d</w:t>
      </w:r>
      <w:r w:rsidRPr="00D133CC">
        <w:rPr>
          <w:lang w:val="fr-CA"/>
        </w:rPr>
        <w:t xml:space="preserve">éontologie </w:t>
      </w:r>
      <w:r w:rsidR="005F4A68">
        <w:rPr>
          <w:lang w:val="fr-CA"/>
        </w:rPr>
        <w:t>p</w:t>
      </w:r>
      <w:r w:rsidRPr="00D133CC">
        <w:rPr>
          <w:lang w:val="fr-CA"/>
        </w:rPr>
        <w:t xml:space="preserve">olicière </w:t>
      </w:r>
      <w:r>
        <w:rPr>
          <w:lang w:val="fr-CA"/>
        </w:rPr>
        <w:t>est une organisation gouvernemental</w:t>
      </w:r>
      <w:r w:rsidR="005F4A68">
        <w:rPr>
          <w:lang w:val="fr-CA"/>
        </w:rPr>
        <w:t>e</w:t>
      </w:r>
      <w:r>
        <w:rPr>
          <w:lang w:val="fr-CA"/>
        </w:rPr>
        <w:t xml:space="preserve"> indépendante qui a pour but de s’assurer que le code de déontologie </w:t>
      </w:r>
      <w:r w:rsidR="005F4A68">
        <w:rPr>
          <w:lang w:val="fr-CA"/>
        </w:rPr>
        <w:t>p</w:t>
      </w:r>
      <w:r>
        <w:rPr>
          <w:lang w:val="fr-CA"/>
        </w:rPr>
        <w:t xml:space="preserve">olicière </w:t>
      </w:r>
      <w:r w:rsidR="003D4264">
        <w:rPr>
          <w:lang w:val="fr-CA"/>
        </w:rPr>
        <w:t>est</w:t>
      </w:r>
      <w:r>
        <w:rPr>
          <w:lang w:val="fr-CA"/>
        </w:rPr>
        <w:t xml:space="preserve"> </w:t>
      </w:r>
      <w:r w:rsidR="005F4A68">
        <w:rPr>
          <w:lang w:val="fr-CA"/>
        </w:rPr>
        <w:t>respecté</w:t>
      </w:r>
      <w:r>
        <w:rPr>
          <w:lang w:val="fr-CA"/>
        </w:rPr>
        <w:t>. Le commissaire se charge donc de traiter les plaintes citoyennes</w:t>
      </w:r>
      <w:r w:rsidR="00A60236">
        <w:rPr>
          <w:lang w:val="fr-CA"/>
        </w:rPr>
        <w:t xml:space="preserve"> </w:t>
      </w:r>
      <w:r>
        <w:rPr>
          <w:lang w:val="fr-CA"/>
        </w:rPr>
        <w:t>déposées à l’encontre de policiers, agents de protection de la faune, constable</w:t>
      </w:r>
      <w:r w:rsidR="005F4A68">
        <w:rPr>
          <w:lang w:val="fr-CA"/>
        </w:rPr>
        <w:t>s</w:t>
      </w:r>
      <w:r>
        <w:rPr>
          <w:lang w:val="fr-CA"/>
        </w:rPr>
        <w:t xml:space="preserve"> spéciaux, contrôleurs routiers, des dirigeants et enquêteurs de l’Unité permanente anticorruption ainsi que les dirigeants et enquêteurs du Bureau des enquêtes indépendantes qui n’auraient pas respecté leur code de déontologie</w:t>
      </w:r>
      <w:r>
        <w:rPr>
          <w:rStyle w:val="FootnoteReference"/>
          <w:lang w:val="fr-CA"/>
        </w:rPr>
        <w:footnoteReference w:id="1"/>
      </w:r>
      <w:r w:rsidR="009466B4">
        <w:rPr>
          <w:lang w:val="fr-CA"/>
        </w:rPr>
        <w:t xml:space="preserve">. En d’autres termes, le Commissaire à la </w:t>
      </w:r>
      <w:r w:rsidR="005F4A68">
        <w:rPr>
          <w:lang w:val="fr-CA"/>
        </w:rPr>
        <w:t>d</w:t>
      </w:r>
      <w:r w:rsidR="009466B4">
        <w:rPr>
          <w:lang w:val="fr-CA"/>
        </w:rPr>
        <w:t xml:space="preserve">éontologie </w:t>
      </w:r>
      <w:r w:rsidR="005F4A68">
        <w:rPr>
          <w:lang w:val="fr-CA"/>
        </w:rPr>
        <w:t>p</w:t>
      </w:r>
      <w:r w:rsidR="009466B4">
        <w:rPr>
          <w:lang w:val="fr-CA"/>
        </w:rPr>
        <w:t>olicière est chargé de protéger la population</w:t>
      </w:r>
      <w:r w:rsidR="00A60236">
        <w:rPr>
          <w:lang w:val="fr-CA"/>
        </w:rPr>
        <w:t xml:space="preserve"> contre</w:t>
      </w:r>
      <w:r w:rsidR="009466B4">
        <w:rPr>
          <w:lang w:val="fr-CA"/>
        </w:rPr>
        <w:t xml:space="preserve"> </w:t>
      </w:r>
      <w:r w:rsidR="00A60236">
        <w:rPr>
          <w:lang w:val="fr-CA"/>
        </w:rPr>
        <w:t>l</w:t>
      </w:r>
      <w:r w:rsidR="009466B4">
        <w:rPr>
          <w:lang w:val="fr-CA"/>
        </w:rPr>
        <w:t>es manquements au code de déontologie policière commis par les forces de l’ordre</w:t>
      </w:r>
      <w:r w:rsidR="005F4A68">
        <w:rPr>
          <w:lang w:val="fr-CA"/>
        </w:rPr>
        <w:t>.</w:t>
      </w:r>
    </w:p>
    <w:p w14:paraId="76B7B280" w14:textId="268DD798" w:rsidR="00700FB2" w:rsidRPr="000427D1" w:rsidRDefault="009466B4" w:rsidP="00F660BB">
      <w:pPr>
        <w:pStyle w:val="Heading1"/>
        <w:numPr>
          <w:ilvl w:val="0"/>
          <w:numId w:val="6"/>
        </w:numPr>
        <w:jc w:val="center"/>
        <w:rPr>
          <w:u w:val="single"/>
          <w:lang w:val="fr-CA"/>
        </w:rPr>
      </w:pPr>
      <w:bookmarkStart w:id="1" w:name="_Toc143850225"/>
      <w:r w:rsidRPr="000427D1">
        <w:rPr>
          <w:u w:val="single"/>
          <w:lang w:val="fr-CA"/>
        </w:rPr>
        <w:t xml:space="preserve">Le processus d’un dépôt de </w:t>
      </w:r>
      <w:r w:rsidR="00130A09" w:rsidRPr="000427D1">
        <w:rPr>
          <w:u w:val="single"/>
          <w:lang w:val="fr-CA"/>
        </w:rPr>
        <w:t>p</w:t>
      </w:r>
      <w:r w:rsidRPr="000427D1">
        <w:rPr>
          <w:u w:val="single"/>
          <w:lang w:val="fr-CA"/>
        </w:rPr>
        <w:t>laintes</w:t>
      </w:r>
      <w:r w:rsidR="00D123C3" w:rsidRPr="000427D1">
        <w:rPr>
          <w:rStyle w:val="FootnoteReference"/>
          <w:sz w:val="28"/>
          <w:szCs w:val="28"/>
          <w:u w:val="single"/>
          <w:lang w:val="fr-CA"/>
        </w:rPr>
        <w:footnoteReference w:id="2"/>
      </w:r>
      <w:bookmarkEnd w:id="1"/>
    </w:p>
    <w:p w14:paraId="1D856705" w14:textId="77777777" w:rsidR="009466B4" w:rsidRDefault="009466B4" w:rsidP="00CE33F7">
      <w:pPr>
        <w:spacing w:line="360" w:lineRule="auto"/>
        <w:rPr>
          <w:sz w:val="28"/>
          <w:szCs w:val="28"/>
          <w:u w:val="single"/>
          <w:lang w:val="fr-CA"/>
        </w:rPr>
      </w:pPr>
    </w:p>
    <w:p w14:paraId="715A1A7A" w14:textId="05B8D4C3" w:rsidR="009466B4" w:rsidRDefault="009466B4" w:rsidP="00CE33F7">
      <w:pPr>
        <w:spacing w:line="360" w:lineRule="auto"/>
        <w:jc w:val="both"/>
        <w:rPr>
          <w:lang w:val="fr-CA"/>
        </w:rPr>
      </w:pPr>
      <w:r>
        <w:rPr>
          <w:lang w:val="fr-CA"/>
        </w:rPr>
        <w:t xml:space="preserve">Actuellement, </w:t>
      </w:r>
      <w:r w:rsidR="00D123C3" w:rsidRPr="0058684E">
        <w:rPr>
          <w:lang w:val="fr-CA"/>
        </w:rPr>
        <w:t>tout</w:t>
      </w:r>
      <w:r w:rsidR="0058684E">
        <w:rPr>
          <w:lang w:val="fr-CA"/>
        </w:rPr>
        <w:t xml:space="preserve">e personne </w:t>
      </w:r>
      <w:r w:rsidR="00D123C3" w:rsidRPr="0058684E">
        <w:rPr>
          <w:lang w:val="fr-CA"/>
        </w:rPr>
        <w:t>qui pense qu’un policier n’a pas respect</w:t>
      </w:r>
      <w:r w:rsidR="005F4A68">
        <w:rPr>
          <w:lang w:val="fr-CA"/>
        </w:rPr>
        <w:t>é</w:t>
      </w:r>
      <w:r w:rsidR="00D123C3" w:rsidRPr="0058684E">
        <w:rPr>
          <w:lang w:val="fr-CA"/>
        </w:rPr>
        <w:t xml:space="preserve"> son code de déontologie lors de l’exercice de ses </w:t>
      </w:r>
      <w:r w:rsidR="0041270A" w:rsidRPr="0058684E">
        <w:rPr>
          <w:lang w:val="fr-CA"/>
        </w:rPr>
        <w:t xml:space="preserve">fonctions </w:t>
      </w:r>
      <w:r w:rsidR="00D123C3">
        <w:rPr>
          <w:lang w:val="fr-CA"/>
        </w:rPr>
        <w:t xml:space="preserve">peut formuler une plainte au Commissaire à la </w:t>
      </w:r>
      <w:r w:rsidR="005F4A68">
        <w:rPr>
          <w:lang w:val="fr-CA"/>
        </w:rPr>
        <w:t>d</w:t>
      </w:r>
      <w:r w:rsidR="00D123C3">
        <w:rPr>
          <w:lang w:val="fr-CA"/>
        </w:rPr>
        <w:t xml:space="preserve">éontologie </w:t>
      </w:r>
      <w:r w:rsidR="005F4A68">
        <w:rPr>
          <w:lang w:val="fr-CA"/>
        </w:rPr>
        <w:t>p</w:t>
      </w:r>
      <w:r w:rsidR="00D123C3">
        <w:rPr>
          <w:lang w:val="fr-CA"/>
        </w:rPr>
        <w:t>olicière</w:t>
      </w:r>
      <w:r w:rsidR="0058684E">
        <w:rPr>
          <w:lang w:val="fr-CA"/>
        </w:rPr>
        <w:t xml:space="preserve"> qui aura le devoir de la recevoir et de l’</w:t>
      </w:r>
      <w:r w:rsidR="0064159B">
        <w:rPr>
          <w:lang w:val="fr-CA"/>
        </w:rPr>
        <w:t>examiner</w:t>
      </w:r>
      <w:r w:rsidR="0058684E">
        <w:rPr>
          <w:rStyle w:val="FootnoteReference"/>
          <w:lang w:val="fr-CA"/>
        </w:rPr>
        <w:footnoteReference w:id="3"/>
      </w:r>
      <w:r w:rsidR="0058684E">
        <w:rPr>
          <w:lang w:val="fr-CA"/>
        </w:rPr>
        <w:t xml:space="preserve"> </w:t>
      </w:r>
      <w:r w:rsidR="00D123C3">
        <w:rPr>
          <w:lang w:val="fr-CA"/>
        </w:rPr>
        <w:t xml:space="preserve">. </w:t>
      </w:r>
    </w:p>
    <w:p w14:paraId="3F67F6F3" w14:textId="0862F264" w:rsidR="00D123C3" w:rsidRDefault="00D123C3" w:rsidP="00CE33F7">
      <w:pPr>
        <w:spacing w:line="360" w:lineRule="auto"/>
        <w:rPr>
          <w:lang w:val="fr-CA"/>
        </w:rPr>
      </w:pPr>
    </w:p>
    <w:p w14:paraId="331F1EF6" w14:textId="53AB7502" w:rsidR="0039017B" w:rsidRDefault="00D123C3" w:rsidP="00CE33F7">
      <w:pPr>
        <w:spacing w:line="360" w:lineRule="auto"/>
        <w:jc w:val="both"/>
        <w:rPr>
          <w:lang w:val="fr-CA"/>
        </w:rPr>
      </w:pPr>
      <w:r>
        <w:rPr>
          <w:lang w:val="fr-CA"/>
        </w:rPr>
        <w:t>Une fois la plainte déposé</w:t>
      </w:r>
      <w:r w:rsidR="00F7691A">
        <w:rPr>
          <w:lang w:val="fr-CA"/>
        </w:rPr>
        <w:t>e</w:t>
      </w:r>
      <w:r>
        <w:rPr>
          <w:lang w:val="fr-CA"/>
        </w:rPr>
        <w:t xml:space="preserve">, le Commissaire procède à une analyse préliminaire. En effet, il analyse la plainte du citoyen ainsi que la version officielle du policier à l’aide des documents appropriés fournis par le corps de police concerné. Une fois l’analyse préliminaire effectuée, le commissaire décide s’il refuse la plainte, s’il réfère la plainte en conciliation ou s’il décide d’ouvrir une </w:t>
      </w:r>
      <w:r w:rsidR="0041270A">
        <w:rPr>
          <w:lang w:val="fr-CA"/>
        </w:rPr>
        <w:t>enquête.</w:t>
      </w:r>
      <w:r w:rsidR="0039017B">
        <w:rPr>
          <w:lang w:val="fr-CA"/>
        </w:rPr>
        <w:t xml:space="preserve"> </w:t>
      </w:r>
    </w:p>
    <w:p w14:paraId="6033BB66" w14:textId="77777777" w:rsidR="00303324" w:rsidRDefault="00303324" w:rsidP="00CE33F7">
      <w:pPr>
        <w:spacing w:line="360" w:lineRule="auto"/>
        <w:jc w:val="both"/>
        <w:rPr>
          <w:lang w:val="fr-CA"/>
        </w:rPr>
      </w:pPr>
    </w:p>
    <w:p w14:paraId="4B1B4697" w14:textId="3BA92F91" w:rsidR="0041270A" w:rsidRDefault="0039017B" w:rsidP="00CE33F7">
      <w:pPr>
        <w:spacing w:line="360" w:lineRule="auto"/>
        <w:jc w:val="both"/>
        <w:rPr>
          <w:lang w:val="fr-CA"/>
        </w:rPr>
      </w:pPr>
      <w:r>
        <w:rPr>
          <w:lang w:val="fr-CA"/>
        </w:rPr>
        <w:t xml:space="preserve">En 2021-2022, </w:t>
      </w:r>
      <w:r w:rsidR="00C027F1">
        <w:rPr>
          <w:lang w:val="fr-CA"/>
        </w:rPr>
        <w:t>le Commissaire a reçu 2493 plaintes, a référé 624 plaintes en conciliation, a tenu 177 enquêtes et a cité 85 policiers à comparaitre devant le Comité.</w:t>
      </w:r>
      <w:r w:rsidR="00C027F1">
        <w:rPr>
          <w:rStyle w:val="FootnoteReference"/>
          <w:lang w:val="fr-CA"/>
        </w:rPr>
        <w:footnoteReference w:id="4"/>
      </w:r>
    </w:p>
    <w:p w14:paraId="67907760" w14:textId="77777777" w:rsidR="00303324" w:rsidRDefault="00303324" w:rsidP="00CE33F7">
      <w:pPr>
        <w:spacing w:line="360" w:lineRule="auto"/>
        <w:jc w:val="both"/>
        <w:rPr>
          <w:lang w:val="fr-CA"/>
        </w:rPr>
      </w:pPr>
    </w:p>
    <w:p w14:paraId="3E637E78" w14:textId="37930071" w:rsidR="00D123C3" w:rsidRDefault="0041270A" w:rsidP="00CE33F7">
      <w:pPr>
        <w:pStyle w:val="ListParagraph"/>
        <w:numPr>
          <w:ilvl w:val="0"/>
          <w:numId w:val="3"/>
        </w:numPr>
        <w:spacing w:line="360" w:lineRule="auto"/>
        <w:jc w:val="both"/>
        <w:rPr>
          <w:lang w:val="fr-CA"/>
        </w:rPr>
      </w:pPr>
      <w:r>
        <w:rPr>
          <w:lang w:val="fr-CA"/>
        </w:rPr>
        <w:t>Le refus de la plainte : I</w:t>
      </w:r>
      <w:r w:rsidRPr="0041270A">
        <w:rPr>
          <w:lang w:val="fr-CA"/>
        </w:rPr>
        <w:t>l est important de noter que lors de l’année 2021-2022, 65.5% des plaintes formulées au Commissaire ont été refusé</w:t>
      </w:r>
      <w:r w:rsidR="00FF2BA3">
        <w:rPr>
          <w:lang w:val="fr-CA"/>
        </w:rPr>
        <w:t>e</w:t>
      </w:r>
      <w:r w:rsidR="00F7691A">
        <w:rPr>
          <w:lang w:val="fr-CA"/>
        </w:rPr>
        <w:t>s</w:t>
      </w:r>
      <w:r>
        <w:rPr>
          <w:rStyle w:val="FootnoteReference"/>
          <w:lang w:val="fr-CA"/>
        </w:rPr>
        <w:footnoteReference w:id="5"/>
      </w:r>
      <w:r>
        <w:rPr>
          <w:lang w:val="fr-CA"/>
        </w:rPr>
        <w:t>.</w:t>
      </w:r>
    </w:p>
    <w:p w14:paraId="0CCF8FD4" w14:textId="3A301BED" w:rsidR="0041270A" w:rsidRPr="0041270A" w:rsidRDefault="0041270A" w:rsidP="00CE33F7">
      <w:pPr>
        <w:pStyle w:val="ListParagraph"/>
        <w:numPr>
          <w:ilvl w:val="0"/>
          <w:numId w:val="3"/>
        </w:numPr>
        <w:spacing w:line="360" w:lineRule="auto"/>
        <w:jc w:val="both"/>
        <w:rPr>
          <w:lang w:val="fr-CA"/>
        </w:rPr>
      </w:pPr>
      <w:r>
        <w:rPr>
          <w:lang w:val="fr-CA"/>
        </w:rPr>
        <w:t xml:space="preserve">Enquête : Le commissaire ouvre une enquête suite </w:t>
      </w:r>
      <w:r w:rsidR="00130A09">
        <w:rPr>
          <w:lang w:val="fr-CA"/>
        </w:rPr>
        <w:t>à l’</w:t>
      </w:r>
      <w:r>
        <w:rPr>
          <w:lang w:val="fr-CA"/>
        </w:rPr>
        <w:t xml:space="preserve">analyse préliminaire s’il juge que </w:t>
      </w:r>
      <w:r w:rsidR="00130A09">
        <w:rPr>
          <w:lang w:val="fr-CA"/>
        </w:rPr>
        <w:t>les allégations portées à l’encontre du policier sont grave</w:t>
      </w:r>
      <w:r w:rsidR="005F4A68">
        <w:rPr>
          <w:lang w:val="fr-CA"/>
        </w:rPr>
        <w:t>s</w:t>
      </w:r>
      <w:r w:rsidR="00130A09">
        <w:rPr>
          <w:lang w:val="fr-CA"/>
        </w:rPr>
        <w:t xml:space="preserve"> et que la situation mérite d’être éclairci</w:t>
      </w:r>
      <w:r w:rsidR="005F4A68">
        <w:rPr>
          <w:lang w:val="fr-CA"/>
        </w:rPr>
        <w:t>e</w:t>
      </w:r>
      <w:r w:rsidR="00130A09">
        <w:rPr>
          <w:lang w:val="fr-CA"/>
        </w:rPr>
        <w:t>. Une fois l’enquête ouverte, la Commissaire détermine si le dossier contient assez de preuves afin</w:t>
      </w:r>
      <w:r w:rsidR="005F4A68">
        <w:rPr>
          <w:lang w:val="fr-CA"/>
        </w:rPr>
        <w:t xml:space="preserve"> de</w:t>
      </w:r>
      <w:r w:rsidR="00130A09">
        <w:rPr>
          <w:lang w:val="fr-CA"/>
        </w:rPr>
        <w:t xml:space="preserve"> </w:t>
      </w:r>
      <w:r w:rsidR="00201EA5">
        <w:rPr>
          <w:lang w:val="fr-CA"/>
        </w:rPr>
        <w:t>cit</w:t>
      </w:r>
      <w:r w:rsidR="005F4A68">
        <w:rPr>
          <w:lang w:val="fr-CA"/>
        </w:rPr>
        <w:t>er</w:t>
      </w:r>
      <w:r w:rsidR="00201EA5">
        <w:rPr>
          <w:lang w:val="fr-CA"/>
        </w:rPr>
        <w:t xml:space="preserve"> le ou les policiers visés devant le Comité</w:t>
      </w:r>
      <w:r w:rsidR="003C4A83">
        <w:rPr>
          <w:lang w:val="fr-CA"/>
        </w:rPr>
        <w:t xml:space="preserve"> de déontologie </w:t>
      </w:r>
      <w:r w:rsidR="00692264">
        <w:rPr>
          <w:lang w:val="fr-CA"/>
        </w:rPr>
        <w:t>policière</w:t>
      </w:r>
      <w:r w:rsidR="003C4A83">
        <w:rPr>
          <w:rStyle w:val="FootnoteReference"/>
          <w:lang w:val="fr-CA"/>
        </w:rPr>
        <w:footnoteReference w:id="6"/>
      </w:r>
      <w:r w:rsidR="00201EA5">
        <w:rPr>
          <w:lang w:val="fr-CA"/>
        </w:rPr>
        <w:t xml:space="preserve">. </w:t>
      </w:r>
      <w:r w:rsidR="00692264">
        <w:rPr>
          <w:lang w:val="fr-CA"/>
        </w:rPr>
        <w:t xml:space="preserve">Lors de l’année 2021-2022, 6.6% des plaintes déposées au </w:t>
      </w:r>
      <w:r w:rsidR="00692264" w:rsidRPr="005F711E">
        <w:rPr>
          <w:lang w:val="fr-CA"/>
        </w:rPr>
        <w:t>Commissaire ont abouti par une enquête.</w:t>
      </w:r>
      <w:r w:rsidR="00692264">
        <w:rPr>
          <w:lang w:val="fr-CA"/>
        </w:rPr>
        <w:t xml:space="preserve"> </w:t>
      </w:r>
    </w:p>
    <w:p w14:paraId="1E7C69BA" w14:textId="42EF33B2" w:rsidR="0018278F" w:rsidRPr="00692264" w:rsidRDefault="0041270A" w:rsidP="00CE33F7">
      <w:pPr>
        <w:pStyle w:val="ListParagraph"/>
        <w:numPr>
          <w:ilvl w:val="0"/>
          <w:numId w:val="3"/>
        </w:numPr>
        <w:spacing w:line="360" w:lineRule="auto"/>
        <w:rPr>
          <w:sz w:val="28"/>
          <w:szCs w:val="28"/>
          <w:u w:val="single"/>
          <w:lang w:val="fr-CA"/>
        </w:rPr>
      </w:pPr>
      <w:r>
        <w:rPr>
          <w:lang w:val="fr-CA"/>
        </w:rPr>
        <w:t>La conciliation :</w:t>
      </w:r>
      <w:r w:rsidR="00692264">
        <w:rPr>
          <w:lang w:val="fr-CA"/>
        </w:rPr>
        <w:t xml:space="preserve"> La conciliation est une rencontre entre le plaignant et le ou les policiers concernés par la plainte. Cette rencontre a pour but </w:t>
      </w:r>
      <w:r w:rsidR="00001051">
        <w:rPr>
          <w:lang w:val="fr-CA"/>
        </w:rPr>
        <w:t xml:space="preserve">de mettre en relation les deux parties afin de discuter des évènements qui ont mené à la plainte. </w:t>
      </w:r>
      <w:r>
        <w:rPr>
          <w:lang w:val="fr-CA"/>
        </w:rPr>
        <w:t>Lors de l’année 2021-2022, le Commissaire a référé</w:t>
      </w:r>
      <w:r w:rsidR="00130A09">
        <w:rPr>
          <w:lang w:val="fr-CA"/>
        </w:rPr>
        <w:t xml:space="preserve"> en conciliation </w:t>
      </w:r>
      <w:r>
        <w:rPr>
          <w:lang w:val="fr-CA"/>
        </w:rPr>
        <w:t>27.9% des plaintes qu’il a reçu</w:t>
      </w:r>
      <w:r w:rsidR="00FF2BA3">
        <w:rPr>
          <w:lang w:val="fr-CA"/>
        </w:rPr>
        <w:t>es</w:t>
      </w:r>
      <w:r>
        <w:rPr>
          <w:lang w:val="fr-CA"/>
        </w:rPr>
        <w:t xml:space="preserve">. </w:t>
      </w:r>
    </w:p>
    <w:p w14:paraId="0566D981" w14:textId="03E49364" w:rsidR="00692264" w:rsidRPr="000427D1" w:rsidRDefault="00001051" w:rsidP="000427D1">
      <w:pPr>
        <w:pStyle w:val="Heading1"/>
        <w:numPr>
          <w:ilvl w:val="0"/>
          <w:numId w:val="6"/>
        </w:numPr>
        <w:jc w:val="center"/>
        <w:rPr>
          <w:u w:val="single"/>
          <w:lang w:val="fr-CA"/>
        </w:rPr>
      </w:pPr>
      <w:bookmarkStart w:id="2" w:name="_Toc143850226"/>
      <w:r w:rsidRPr="000427D1">
        <w:rPr>
          <w:u w:val="single"/>
          <w:lang w:val="fr-CA"/>
        </w:rPr>
        <w:t xml:space="preserve">Ce qui est reproché au Commissaire à la </w:t>
      </w:r>
      <w:r w:rsidR="005F4A68">
        <w:rPr>
          <w:u w:val="single"/>
          <w:lang w:val="fr-CA"/>
        </w:rPr>
        <w:t>d</w:t>
      </w:r>
      <w:r w:rsidRPr="000427D1">
        <w:rPr>
          <w:u w:val="single"/>
          <w:lang w:val="fr-CA"/>
        </w:rPr>
        <w:t xml:space="preserve">éontologie </w:t>
      </w:r>
      <w:r w:rsidR="005F4A68">
        <w:rPr>
          <w:u w:val="single"/>
          <w:lang w:val="fr-CA"/>
        </w:rPr>
        <w:t>p</w:t>
      </w:r>
      <w:r w:rsidRPr="000427D1">
        <w:rPr>
          <w:u w:val="single"/>
          <w:lang w:val="fr-CA"/>
        </w:rPr>
        <w:t>olicière</w:t>
      </w:r>
      <w:bookmarkEnd w:id="2"/>
    </w:p>
    <w:p w14:paraId="35EACB29" w14:textId="77777777" w:rsidR="00001051" w:rsidRDefault="00001051" w:rsidP="00CE33F7">
      <w:pPr>
        <w:spacing w:line="360" w:lineRule="auto"/>
        <w:jc w:val="center"/>
        <w:rPr>
          <w:sz w:val="28"/>
          <w:szCs w:val="28"/>
          <w:u w:val="single"/>
          <w:lang w:val="fr-CA"/>
        </w:rPr>
      </w:pPr>
    </w:p>
    <w:p w14:paraId="64606DF3" w14:textId="486D4EE0" w:rsidR="00001051" w:rsidRDefault="00001051" w:rsidP="00CE33F7">
      <w:pPr>
        <w:pStyle w:val="ListParagraph"/>
        <w:numPr>
          <w:ilvl w:val="0"/>
          <w:numId w:val="3"/>
        </w:numPr>
        <w:spacing w:line="360" w:lineRule="auto"/>
        <w:jc w:val="both"/>
        <w:rPr>
          <w:lang w:val="fr-CA"/>
        </w:rPr>
      </w:pPr>
      <w:r w:rsidRPr="005F711E">
        <w:rPr>
          <w:lang w:val="fr-CA"/>
        </w:rPr>
        <w:t>Premièrement, comme mentionné plus haut, 65.5% des plaintes</w:t>
      </w:r>
      <w:r w:rsidR="003A1A71" w:rsidRPr="005F711E">
        <w:rPr>
          <w:lang w:val="fr-CA"/>
        </w:rPr>
        <w:t xml:space="preserve"> déposées au Commissaire à la déontologie policière sont refusées après l’analyse préliminaire. </w:t>
      </w:r>
      <w:r w:rsidR="005F711E" w:rsidRPr="005F711E">
        <w:rPr>
          <w:lang w:val="fr-CA"/>
        </w:rPr>
        <w:t>Pour situer cette statistique, lors de la même année, le commissaire a reçu 2493 plaintes</w:t>
      </w:r>
      <w:r w:rsidR="005F711E">
        <w:rPr>
          <w:rStyle w:val="FootnoteReference"/>
          <w:lang w:val="fr-CA"/>
        </w:rPr>
        <w:footnoteReference w:id="7"/>
      </w:r>
      <w:r w:rsidR="005F711E" w:rsidRPr="005F711E">
        <w:rPr>
          <w:lang w:val="fr-CA"/>
        </w:rPr>
        <w:t xml:space="preserve">. </w:t>
      </w:r>
    </w:p>
    <w:p w14:paraId="5772E136" w14:textId="25A9890F" w:rsidR="005F711E" w:rsidRDefault="005F711E" w:rsidP="00CE33F7">
      <w:pPr>
        <w:pStyle w:val="ListParagraph"/>
        <w:numPr>
          <w:ilvl w:val="0"/>
          <w:numId w:val="3"/>
        </w:numPr>
        <w:spacing w:line="360" w:lineRule="auto"/>
        <w:jc w:val="both"/>
        <w:rPr>
          <w:lang w:val="fr-CA"/>
        </w:rPr>
      </w:pPr>
      <w:r>
        <w:rPr>
          <w:lang w:val="fr-CA"/>
        </w:rPr>
        <w:t xml:space="preserve">Deuxièmement, le commissaire agit </w:t>
      </w:r>
      <w:r w:rsidR="00CD4DCA">
        <w:rPr>
          <w:lang w:val="fr-CA"/>
        </w:rPr>
        <w:t xml:space="preserve">comme un procureur lorsqu’il cite un </w:t>
      </w:r>
      <w:r w:rsidR="00455669">
        <w:rPr>
          <w:lang w:val="fr-CA"/>
        </w:rPr>
        <w:t xml:space="preserve">policier </w:t>
      </w:r>
      <w:r w:rsidR="00CD4DCA">
        <w:rPr>
          <w:lang w:val="fr-CA"/>
        </w:rPr>
        <w:t xml:space="preserve">devant le </w:t>
      </w:r>
      <w:r w:rsidR="00455669">
        <w:rPr>
          <w:lang w:val="fr-CA"/>
        </w:rPr>
        <w:t>comité</w:t>
      </w:r>
      <w:r>
        <w:rPr>
          <w:lang w:val="fr-CA"/>
        </w:rPr>
        <w:t>. En effet, il est celui qui détient le pouvoir de cit</w:t>
      </w:r>
      <w:r w:rsidR="005F4A68">
        <w:rPr>
          <w:lang w:val="fr-CA"/>
        </w:rPr>
        <w:t>er</w:t>
      </w:r>
      <w:r>
        <w:rPr>
          <w:lang w:val="fr-CA"/>
        </w:rPr>
        <w:t xml:space="preserve"> un agent de la paix devant le comité de déontologie policière. Cependant, le Commissaire détient aussi le pouvoir discrétionnaire sur le décl</w:t>
      </w:r>
      <w:r w:rsidR="005F4A68">
        <w:rPr>
          <w:lang w:val="fr-CA"/>
        </w:rPr>
        <w:t>e</w:t>
      </w:r>
      <w:r>
        <w:rPr>
          <w:lang w:val="fr-CA"/>
        </w:rPr>
        <w:t>nchement d’une enquête ainsi que la citation ou non d’un agent de la paix devant le comité</w:t>
      </w:r>
      <w:r>
        <w:rPr>
          <w:rStyle w:val="FootnoteReference"/>
          <w:lang w:val="fr-CA"/>
        </w:rPr>
        <w:footnoteReference w:id="8"/>
      </w:r>
      <w:r>
        <w:rPr>
          <w:lang w:val="fr-CA"/>
        </w:rPr>
        <w:t xml:space="preserve">. Ce pouvoir discrétionnaire a pour effet de </w:t>
      </w:r>
      <w:r>
        <w:rPr>
          <w:lang w:val="fr-CA"/>
        </w:rPr>
        <w:lastRenderedPageBreak/>
        <w:t xml:space="preserve">créer un système de déontologie qui ne semble pas impartial. </w:t>
      </w:r>
      <w:r w:rsidR="00A60236">
        <w:rPr>
          <w:lang w:val="fr-CA"/>
        </w:rPr>
        <w:t>S</w:t>
      </w:r>
      <w:r>
        <w:rPr>
          <w:lang w:val="fr-CA"/>
        </w:rPr>
        <w:t>i certain</w:t>
      </w:r>
      <w:r w:rsidR="00F50FA9">
        <w:rPr>
          <w:lang w:val="fr-CA"/>
        </w:rPr>
        <w:t xml:space="preserve">es lignes directrices étaient mises en place par le législatif afin de définir de vrais critères pour déclencher une enquête, le système de déontologie en </w:t>
      </w:r>
      <w:r w:rsidR="00F7691A">
        <w:rPr>
          <w:lang w:val="fr-CA"/>
        </w:rPr>
        <w:t>serait</w:t>
      </w:r>
      <w:r w:rsidR="00F50FA9">
        <w:rPr>
          <w:lang w:val="fr-CA"/>
        </w:rPr>
        <w:t xml:space="preserve"> grandi. </w:t>
      </w:r>
    </w:p>
    <w:p w14:paraId="7F23D748" w14:textId="68206477" w:rsidR="00692264" w:rsidRPr="005F4A68" w:rsidRDefault="006E279A" w:rsidP="005F4A68">
      <w:pPr>
        <w:numPr>
          <w:ilvl w:val="0"/>
          <w:numId w:val="2"/>
        </w:numPr>
        <w:spacing w:line="360" w:lineRule="auto"/>
        <w:jc w:val="both"/>
        <w:textAlignment w:val="baseline"/>
        <w:rPr>
          <w:sz w:val="28"/>
          <w:szCs w:val="28"/>
          <w:u w:val="single"/>
          <w:lang w:val="fr-CA"/>
        </w:rPr>
      </w:pPr>
      <w:r>
        <w:rPr>
          <w:lang w:val="fr-CA"/>
        </w:rPr>
        <w:t>Troisièmement, s</w:t>
      </w:r>
      <w:r w:rsidR="00F50FA9" w:rsidRPr="00F50FA9">
        <w:rPr>
          <w:lang w:val="fr-CA"/>
        </w:rPr>
        <w:t>ur son site Web</w:t>
      </w:r>
      <w:r w:rsidR="00F50FA9" w:rsidRPr="00F50FA9">
        <w:rPr>
          <w:rFonts w:eastAsia="Times New Roman" w:cstheme="minorHAnsi"/>
          <w:color w:val="000000"/>
          <w:kern w:val="0"/>
          <w:lang w:val="fr-FR" w:eastAsia="en-GB"/>
          <w14:ligatures w14:val="none"/>
        </w:rPr>
        <w:t>, le Commissaire à la déontologie policière se dit être “une organisation gouvernementale indépendante”</w:t>
      </w:r>
      <w:r w:rsidR="00F50FA9">
        <w:rPr>
          <w:rStyle w:val="FootnoteReference"/>
          <w:rFonts w:eastAsia="Times New Roman" w:cstheme="minorHAnsi"/>
          <w:color w:val="000000"/>
          <w:kern w:val="0"/>
          <w:lang w:val="fr-FR" w:eastAsia="en-GB"/>
          <w14:ligatures w14:val="none"/>
        </w:rPr>
        <w:footnoteReference w:id="9"/>
      </w:r>
      <w:r w:rsidR="00F50FA9" w:rsidRPr="00F50FA9">
        <w:rPr>
          <w:rFonts w:eastAsia="Times New Roman" w:cstheme="minorHAnsi"/>
          <w:color w:val="000000"/>
          <w:kern w:val="0"/>
          <w:lang w:val="fr-FR" w:eastAsia="en-GB"/>
          <w14:ligatures w14:val="none"/>
        </w:rPr>
        <w:t>. Sur papier, il est vrai que le Commissaire n’est pas directement associé à la police puisque sur le plan administratif</w:t>
      </w:r>
      <w:r w:rsidR="00A60236">
        <w:rPr>
          <w:rFonts w:eastAsia="Times New Roman" w:cstheme="minorHAnsi"/>
          <w:color w:val="000000"/>
          <w:kern w:val="0"/>
          <w:lang w:val="fr-FR" w:eastAsia="en-GB"/>
          <w14:ligatures w14:val="none"/>
        </w:rPr>
        <w:t>,</w:t>
      </w:r>
      <w:r w:rsidR="00F50FA9" w:rsidRPr="00F50FA9">
        <w:rPr>
          <w:rFonts w:eastAsia="Times New Roman" w:cstheme="minorHAnsi"/>
          <w:color w:val="000000"/>
          <w:kern w:val="0"/>
          <w:lang w:val="fr-FR" w:eastAsia="en-GB"/>
          <w14:ligatures w14:val="none"/>
        </w:rPr>
        <w:t xml:space="preserve"> il fait partie de la Sécurité publique. Cependant, </w:t>
      </w:r>
      <w:r w:rsidR="00F50FA9">
        <w:rPr>
          <w:rFonts w:eastAsia="Times New Roman" w:cstheme="minorHAnsi"/>
          <w:color w:val="000000"/>
          <w:kern w:val="0"/>
          <w:lang w:val="fr-FR" w:eastAsia="en-GB"/>
          <w14:ligatures w14:val="none"/>
        </w:rPr>
        <w:t>même s’il est administrativement indépendant du corps policier, la majorité de ses enquêteurs sont d’anciens policiers</w:t>
      </w:r>
      <w:r w:rsidR="00F50FA9">
        <w:rPr>
          <w:rStyle w:val="FootnoteReference"/>
          <w:rFonts w:eastAsia="Times New Roman" w:cstheme="minorHAnsi"/>
          <w:color w:val="000000"/>
          <w:kern w:val="0"/>
          <w:lang w:val="fr-FR" w:eastAsia="en-GB"/>
          <w14:ligatures w14:val="none"/>
        </w:rPr>
        <w:footnoteReference w:id="10"/>
      </w:r>
      <w:r w:rsidR="00F50FA9">
        <w:rPr>
          <w:rFonts w:eastAsia="Times New Roman" w:cstheme="minorHAnsi"/>
          <w:color w:val="000000"/>
          <w:kern w:val="0"/>
          <w:lang w:val="fr-FR" w:eastAsia="en-GB"/>
          <w14:ligatures w14:val="none"/>
        </w:rPr>
        <w:t>. Par conséquent, l</w:t>
      </w:r>
      <w:r>
        <w:rPr>
          <w:rFonts w:eastAsia="Times New Roman" w:cstheme="minorHAnsi"/>
          <w:color w:val="000000"/>
          <w:kern w:val="0"/>
          <w:lang w:val="fr-FR" w:eastAsia="en-GB"/>
          <w14:ligatures w14:val="none"/>
        </w:rPr>
        <w:t>e Commissaire à la déontologie policière ne peut être indépendant puisque les enquêteurs chargés de faire la lumière de manière impartiale sur de</w:t>
      </w:r>
      <w:r w:rsidR="005F4A68">
        <w:rPr>
          <w:rFonts w:eastAsia="Times New Roman" w:cstheme="minorHAnsi"/>
          <w:color w:val="000000"/>
          <w:kern w:val="0"/>
          <w:lang w:val="fr-FR" w:eastAsia="en-GB"/>
          <w14:ligatures w14:val="none"/>
        </w:rPr>
        <w:t xml:space="preserve"> p</w:t>
      </w:r>
      <w:r w:rsidRPr="005F4A68">
        <w:rPr>
          <w:rFonts w:eastAsia="Times New Roman" w:cstheme="minorHAnsi"/>
          <w:color w:val="000000"/>
          <w:kern w:val="0"/>
          <w:lang w:val="fr-FR" w:eastAsia="en-GB"/>
          <w14:ligatures w14:val="none"/>
        </w:rPr>
        <w:t>otentiels manquement</w:t>
      </w:r>
      <w:r w:rsidR="005F4A68">
        <w:rPr>
          <w:rFonts w:eastAsia="Times New Roman" w:cstheme="minorHAnsi"/>
          <w:color w:val="000000"/>
          <w:kern w:val="0"/>
          <w:lang w:val="fr-FR" w:eastAsia="en-GB"/>
          <w14:ligatures w14:val="none"/>
        </w:rPr>
        <w:t>s</w:t>
      </w:r>
      <w:r w:rsidRPr="005F4A68">
        <w:rPr>
          <w:rFonts w:eastAsia="Times New Roman" w:cstheme="minorHAnsi"/>
          <w:color w:val="000000"/>
          <w:kern w:val="0"/>
          <w:lang w:val="fr-FR" w:eastAsia="en-GB"/>
          <w14:ligatures w14:val="none"/>
        </w:rPr>
        <w:t xml:space="preserve"> au code de déontologie sont</w:t>
      </w:r>
      <w:r w:rsidR="00F7691A">
        <w:rPr>
          <w:rFonts w:eastAsia="Times New Roman" w:cstheme="minorHAnsi"/>
          <w:color w:val="000000"/>
          <w:kern w:val="0"/>
          <w:lang w:val="fr-FR" w:eastAsia="en-GB"/>
          <w14:ligatures w14:val="none"/>
        </w:rPr>
        <w:t xml:space="preserve"> </w:t>
      </w:r>
      <w:r w:rsidR="00A60236">
        <w:rPr>
          <w:rFonts w:eastAsia="Times New Roman" w:cstheme="minorHAnsi"/>
          <w:color w:val="000000"/>
          <w:kern w:val="0"/>
          <w:lang w:val="fr-FR" w:eastAsia="en-GB"/>
          <w14:ligatures w14:val="none"/>
        </w:rPr>
        <w:t>qu’ils le veuillent ou non,</w:t>
      </w:r>
      <w:r w:rsidRPr="005F4A68">
        <w:rPr>
          <w:rFonts w:eastAsia="Times New Roman" w:cstheme="minorHAnsi"/>
          <w:color w:val="000000"/>
          <w:kern w:val="0"/>
          <w:lang w:val="fr-FR" w:eastAsia="en-GB"/>
          <w14:ligatures w14:val="none"/>
        </w:rPr>
        <w:t xml:space="preserve"> biaisés en faveur des policiers.</w:t>
      </w:r>
    </w:p>
    <w:p w14:paraId="27F7C092" w14:textId="3038F0E5" w:rsidR="00DC6D9E" w:rsidRPr="00303324" w:rsidRDefault="001237DB" w:rsidP="00CE33F7">
      <w:pPr>
        <w:pStyle w:val="ListParagraph"/>
        <w:numPr>
          <w:ilvl w:val="0"/>
          <w:numId w:val="3"/>
        </w:numPr>
        <w:spacing w:line="360" w:lineRule="auto"/>
        <w:jc w:val="both"/>
        <w:rPr>
          <w:sz w:val="28"/>
          <w:szCs w:val="28"/>
          <w:u w:val="single"/>
          <w:lang w:val="fr-CA"/>
        </w:rPr>
      </w:pPr>
      <w:r>
        <w:rPr>
          <w:lang w:val="fr-CA"/>
        </w:rPr>
        <w:t>Finalement, durant tout son processus, le commissaire t</w:t>
      </w:r>
      <w:r w:rsidR="00A60236">
        <w:rPr>
          <w:lang w:val="fr-CA"/>
        </w:rPr>
        <w:t>end</w:t>
      </w:r>
      <w:r>
        <w:rPr>
          <w:lang w:val="fr-CA"/>
        </w:rPr>
        <w:t xml:space="preserve"> à manquer de transparence. </w:t>
      </w:r>
      <w:r w:rsidR="00A60236">
        <w:rPr>
          <w:lang w:val="fr-CA"/>
        </w:rPr>
        <w:t>E</w:t>
      </w:r>
      <w:r>
        <w:rPr>
          <w:lang w:val="fr-CA"/>
        </w:rPr>
        <w:t xml:space="preserve">n plus des multiples expériences vécues à la clinique, lors de son </w:t>
      </w:r>
      <w:r w:rsidR="00033906">
        <w:rPr>
          <w:lang w:val="fr-CA"/>
        </w:rPr>
        <w:t xml:space="preserve">plus récent </w:t>
      </w:r>
      <w:r>
        <w:rPr>
          <w:lang w:val="fr-CA"/>
        </w:rPr>
        <w:t xml:space="preserve">rapport annuel </w:t>
      </w:r>
      <w:r w:rsidR="00033906">
        <w:rPr>
          <w:lang w:val="fr-CA"/>
        </w:rPr>
        <w:t xml:space="preserve">(2021-2022), le commissaire </w:t>
      </w:r>
      <w:r w:rsidR="00DC6D9E">
        <w:rPr>
          <w:lang w:val="fr-CA"/>
        </w:rPr>
        <w:t xml:space="preserve">a publié les motifs qui ont servi à justifier la fin d’une enquête. Voici les données : </w:t>
      </w:r>
    </w:p>
    <w:tbl>
      <w:tblPr>
        <w:tblStyle w:val="TableGrid"/>
        <w:tblW w:w="0" w:type="auto"/>
        <w:tblInd w:w="704" w:type="dxa"/>
        <w:tblLook w:val="04A0" w:firstRow="1" w:lastRow="0" w:firstColumn="1" w:lastColumn="0" w:noHBand="0" w:noVBand="1"/>
      </w:tblPr>
      <w:tblGrid>
        <w:gridCol w:w="3804"/>
        <w:gridCol w:w="4508"/>
      </w:tblGrid>
      <w:tr w:rsidR="00DC6D9E" w14:paraId="52EEFE39" w14:textId="77777777" w:rsidTr="00DC6D9E">
        <w:tc>
          <w:tcPr>
            <w:tcW w:w="3804" w:type="dxa"/>
          </w:tcPr>
          <w:p w14:paraId="66A35FAD" w14:textId="0BD60E5E" w:rsidR="00DC6D9E" w:rsidRDefault="00DC6D9E" w:rsidP="00CE33F7">
            <w:pPr>
              <w:spacing w:line="360" w:lineRule="auto"/>
              <w:rPr>
                <w:lang w:val="fr-CA"/>
              </w:rPr>
            </w:pPr>
            <w:r>
              <w:rPr>
                <w:lang w:val="fr-CA"/>
              </w:rPr>
              <w:t xml:space="preserve">Absence de manquement </w:t>
            </w:r>
            <w:r w:rsidR="005F4A68">
              <w:rPr>
                <w:lang w:val="fr-CA"/>
              </w:rPr>
              <w:t>d</w:t>
            </w:r>
            <w:r>
              <w:rPr>
                <w:lang w:val="fr-CA"/>
              </w:rPr>
              <w:t xml:space="preserve">éontologique </w:t>
            </w:r>
          </w:p>
        </w:tc>
        <w:tc>
          <w:tcPr>
            <w:tcW w:w="4508" w:type="dxa"/>
          </w:tcPr>
          <w:p w14:paraId="249A6A5B" w14:textId="77777777" w:rsidR="00DC6D9E" w:rsidRDefault="00DC6D9E" w:rsidP="00CE33F7">
            <w:pPr>
              <w:spacing w:line="360" w:lineRule="auto"/>
              <w:jc w:val="right"/>
              <w:rPr>
                <w:lang w:val="fr-CA"/>
              </w:rPr>
            </w:pPr>
            <w:r>
              <w:rPr>
                <w:lang w:val="fr-CA"/>
              </w:rPr>
              <w:t>37</w:t>
            </w:r>
          </w:p>
        </w:tc>
      </w:tr>
      <w:tr w:rsidR="00DC6D9E" w14:paraId="6DDF1444" w14:textId="77777777" w:rsidTr="00DC6D9E">
        <w:tc>
          <w:tcPr>
            <w:tcW w:w="3804" w:type="dxa"/>
          </w:tcPr>
          <w:p w14:paraId="359BB064" w14:textId="77777777" w:rsidR="00DC6D9E" w:rsidRDefault="00DC6D9E" w:rsidP="00CE33F7">
            <w:pPr>
              <w:spacing w:line="360" w:lineRule="auto"/>
              <w:rPr>
                <w:lang w:val="fr-CA"/>
              </w:rPr>
            </w:pPr>
            <w:r w:rsidRPr="00271803">
              <w:rPr>
                <w:lang w:val="fr-CA"/>
              </w:rPr>
              <w:t>Absence de collaboration du plaignant </w:t>
            </w:r>
          </w:p>
        </w:tc>
        <w:tc>
          <w:tcPr>
            <w:tcW w:w="4508" w:type="dxa"/>
          </w:tcPr>
          <w:p w14:paraId="30CAC472" w14:textId="77777777" w:rsidR="00DC6D9E" w:rsidRDefault="00DC6D9E" w:rsidP="00CE33F7">
            <w:pPr>
              <w:spacing w:line="360" w:lineRule="auto"/>
              <w:jc w:val="right"/>
              <w:rPr>
                <w:lang w:val="fr-CA"/>
              </w:rPr>
            </w:pPr>
            <w:r>
              <w:rPr>
                <w:lang w:val="fr-CA"/>
              </w:rPr>
              <w:t>19</w:t>
            </w:r>
          </w:p>
        </w:tc>
      </w:tr>
      <w:tr w:rsidR="00DC6D9E" w14:paraId="560DCB0F" w14:textId="77777777" w:rsidTr="00DC6D9E">
        <w:tc>
          <w:tcPr>
            <w:tcW w:w="3804" w:type="dxa"/>
          </w:tcPr>
          <w:p w14:paraId="22196027" w14:textId="77777777" w:rsidR="00DC6D9E" w:rsidRDefault="00DC6D9E" w:rsidP="00CE33F7">
            <w:pPr>
              <w:spacing w:line="360" w:lineRule="auto"/>
              <w:rPr>
                <w:lang w:val="fr-CA"/>
              </w:rPr>
            </w:pPr>
            <w:r w:rsidRPr="00271803">
              <w:rPr>
                <w:lang w:val="fr-CA"/>
              </w:rPr>
              <w:t>Incapacité d’identifier les policiers </w:t>
            </w:r>
          </w:p>
        </w:tc>
        <w:tc>
          <w:tcPr>
            <w:tcW w:w="4508" w:type="dxa"/>
          </w:tcPr>
          <w:p w14:paraId="428A7DED" w14:textId="77777777" w:rsidR="00DC6D9E" w:rsidRDefault="00DC6D9E" w:rsidP="00CE33F7">
            <w:pPr>
              <w:spacing w:line="360" w:lineRule="auto"/>
              <w:jc w:val="right"/>
              <w:rPr>
                <w:lang w:val="fr-CA"/>
              </w:rPr>
            </w:pPr>
            <w:r>
              <w:rPr>
                <w:lang w:val="fr-CA"/>
              </w:rPr>
              <w:t>1</w:t>
            </w:r>
          </w:p>
        </w:tc>
      </w:tr>
      <w:tr w:rsidR="00DC6D9E" w14:paraId="3512D971" w14:textId="77777777" w:rsidTr="00DC6D9E">
        <w:tc>
          <w:tcPr>
            <w:tcW w:w="3804" w:type="dxa"/>
          </w:tcPr>
          <w:p w14:paraId="6A33CFBF" w14:textId="77777777" w:rsidR="00DC6D9E" w:rsidRDefault="00DC6D9E" w:rsidP="00CE33F7">
            <w:pPr>
              <w:spacing w:line="360" w:lineRule="auto"/>
              <w:rPr>
                <w:lang w:val="fr-CA"/>
              </w:rPr>
            </w:pPr>
            <w:r w:rsidRPr="00271803">
              <w:rPr>
                <w:lang w:val="fr-CA"/>
              </w:rPr>
              <w:t>Prescription</w:t>
            </w:r>
          </w:p>
        </w:tc>
        <w:tc>
          <w:tcPr>
            <w:tcW w:w="4508" w:type="dxa"/>
          </w:tcPr>
          <w:p w14:paraId="60B5AF4C" w14:textId="77777777" w:rsidR="00DC6D9E" w:rsidRDefault="00DC6D9E" w:rsidP="00CE33F7">
            <w:pPr>
              <w:spacing w:line="360" w:lineRule="auto"/>
              <w:jc w:val="right"/>
              <w:rPr>
                <w:lang w:val="fr-CA"/>
              </w:rPr>
            </w:pPr>
            <w:r>
              <w:rPr>
                <w:lang w:val="fr-CA"/>
              </w:rPr>
              <w:t>0</w:t>
            </w:r>
          </w:p>
        </w:tc>
      </w:tr>
      <w:tr w:rsidR="00DC6D9E" w14:paraId="50F3BE2D" w14:textId="77777777" w:rsidTr="00DC6D9E">
        <w:tc>
          <w:tcPr>
            <w:tcW w:w="3804" w:type="dxa"/>
          </w:tcPr>
          <w:p w14:paraId="2F2C8DEE" w14:textId="77777777" w:rsidR="00DC6D9E" w:rsidRDefault="00DC6D9E" w:rsidP="00CE33F7">
            <w:pPr>
              <w:spacing w:line="360" w:lineRule="auto"/>
              <w:rPr>
                <w:lang w:val="fr-CA"/>
              </w:rPr>
            </w:pPr>
            <w:r w:rsidRPr="00271803">
              <w:rPr>
                <w:lang w:val="fr-CA"/>
              </w:rPr>
              <w:t>Absence de collaboration du ou des témoins </w:t>
            </w:r>
          </w:p>
        </w:tc>
        <w:tc>
          <w:tcPr>
            <w:tcW w:w="4508" w:type="dxa"/>
          </w:tcPr>
          <w:p w14:paraId="5B4DC10C" w14:textId="77777777" w:rsidR="00DC6D9E" w:rsidRDefault="00DC6D9E" w:rsidP="00CE33F7">
            <w:pPr>
              <w:spacing w:line="360" w:lineRule="auto"/>
              <w:jc w:val="right"/>
              <w:rPr>
                <w:lang w:val="fr-CA"/>
              </w:rPr>
            </w:pPr>
            <w:r>
              <w:rPr>
                <w:lang w:val="fr-CA"/>
              </w:rPr>
              <w:t>3</w:t>
            </w:r>
          </w:p>
        </w:tc>
      </w:tr>
      <w:tr w:rsidR="00DC6D9E" w14:paraId="457FE603" w14:textId="77777777" w:rsidTr="00DC6D9E">
        <w:tc>
          <w:tcPr>
            <w:tcW w:w="3804" w:type="dxa"/>
          </w:tcPr>
          <w:p w14:paraId="31D3B5DD" w14:textId="77777777" w:rsidR="00DC6D9E" w:rsidRDefault="00DC6D9E" w:rsidP="00CE33F7">
            <w:pPr>
              <w:spacing w:line="360" w:lineRule="auto"/>
              <w:rPr>
                <w:lang w:val="fr-CA"/>
              </w:rPr>
            </w:pPr>
            <w:r w:rsidRPr="00271803">
              <w:rPr>
                <w:lang w:val="fr-CA"/>
              </w:rPr>
              <w:t>Désistement du plaignant </w:t>
            </w:r>
          </w:p>
        </w:tc>
        <w:tc>
          <w:tcPr>
            <w:tcW w:w="4508" w:type="dxa"/>
          </w:tcPr>
          <w:p w14:paraId="21F4C03F" w14:textId="77777777" w:rsidR="00DC6D9E" w:rsidRDefault="00DC6D9E" w:rsidP="00CE33F7">
            <w:pPr>
              <w:spacing w:line="360" w:lineRule="auto"/>
              <w:jc w:val="right"/>
              <w:rPr>
                <w:lang w:val="fr-CA"/>
              </w:rPr>
            </w:pPr>
            <w:r>
              <w:rPr>
                <w:lang w:val="fr-CA"/>
              </w:rPr>
              <w:t>5</w:t>
            </w:r>
          </w:p>
        </w:tc>
      </w:tr>
      <w:tr w:rsidR="00DC6D9E" w14:paraId="794B3DE0" w14:textId="77777777" w:rsidTr="00DC6D9E">
        <w:tc>
          <w:tcPr>
            <w:tcW w:w="3804" w:type="dxa"/>
          </w:tcPr>
          <w:p w14:paraId="56A7D29C" w14:textId="77777777" w:rsidR="00DC6D9E" w:rsidRDefault="00DC6D9E" w:rsidP="00CE33F7">
            <w:pPr>
              <w:spacing w:line="360" w:lineRule="auto"/>
              <w:rPr>
                <w:lang w:val="fr-CA"/>
              </w:rPr>
            </w:pPr>
            <w:r w:rsidRPr="00271803">
              <w:rPr>
                <w:lang w:val="fr-CA"/>
              </w:rPr>
              <w:t>Motif non spécifié</w:t>
            </w:r>
            <w:r>
              <w:rPr>
                <w:lang w:val="fr-CA"/>
              </w:rPr>
              <w:t> </w:t>
            </w:r>
          </w:p>
        </w:tc>
        <w:tc>
          <w:tcPr>
            <w:tcW w:w="4508" w:type="dxa"/>
          </w:tcPr>
          <w:p w14:paraId="7F479C7C" w14:textId="77777777" w:rsidR="00DC6D9E" w:rsidRDefault="00DC6D9E" w:rsidP="00CE33F7">
            <w:pPr>
              <w:spacing w:line="360" w:lineRule="auto"/>
              <w:jc w:val="right"/>
              <w:rPr>
                <w:lang w:val="fr-CA"/>
              </w:rPr>
            </w:pPr>
            <w:r>
              <w:rPr>
                <w:lang w:val="fr-CA"/>
              </w:rPr>
              <w:t>38</w:t>
            </w:r>
          </w:p>
        </w:tc>
      </w:tr>
      <w:tr w:rsidR="00DC6D9E" w14:paraId="0F851C62" w14:textId="77777777" w:rsidTr="00DC6D9E">
        <w:tc>
          <w:tcPr>
            <w:tcW w:w="3804" w:type="dxa"/>
          </w:tcPr>
          <w:p w14:paraId="5691ABE4" w14:textId="77777777" w:rsidR="00DC6D9E" w:rsidRDefault="00DC6D9E" w:rsidP="00CE33F7">
            <w:pPr>
              <w:spacing w:line="360" w:lineRule="auto"/>
              <w:rPr>
                <w:lang w:val="fr-CA"/>
              </w:rPr>
            </w:pPr>
            <w:r>
              <w:rPr>
                <w:lang w:val="fr-CA"/>
              </w:rPr>
              <w:t xml:space="preserve">Total </w:t>
            </w:r>
          </w:p>
        </w:tc>
        <w:tc>
          <w:tcPr>
            <w:tcW w:w="4508" w:type="dxa"/>
          </w:tcPr>
          <w:p w14:paraId="2D7C2ADD" w14:textId="77777777" w:rsidR="00DC6D9E" w:rsidRDefault="00DC6D9E" w:rsidP="00CE33F7">
            <w:pPr>
              <w:spacing w:line="360" w:lineRule="auto"/>
              <w:jc w:val="right"/>
              <w:rPr>
                <w:lang w:val="fr-CA"/>
              </w:rPr>
            </w:pPr>
            <w:r>
              <w:rPr>
                <w:lang w:val="fr-CA"/>
              </w:rPr>
              <w:t>103</w:t>
            </w:r>
          </w:p>
        </w:tc>
      </w:tr>
    </w:tbl>
    <w:p w14:paraId="009E82A5" w14:textId="77777777" w:rsidR="00DC6D9E" w:rsidRPr="00271803" w:rsidRDefault="00DC6D9E" w:rsidP="00CE33F7">
      <w:pPr>
        <w:spacing w:line="360" w:lineRule="auto"/>
        <w:jc w:val="both"/>
        <w:rPr>
          <w:lang w:val="fr-CA"/>
        </w:rPr>
      </w:pPr>
    </w:p>
    <w:p w14:paraId="1E7F3780" w14:textId="6FCDA6B7" w:rsidR="00757EB8" w:rsidRPr="00757EB8" w:rsidRDefault="00DC6D9E" w:rsidP="00757EB8">
      <w:pPr>
        <w:pStyle w:val="ListParagraph"/>
        <w:numPr>
          <w:ilvl w:val="0"/>
          <w:numId w:val="3"/>
        </w:numPr>
        <w:spacing w:line="360" w:lineRule="auto"/>
        <w:jc w:val="both"/>
        <w:rPr>
          <w:lang w:val="fr-CA"/>
        </w:rPr>
      </w:pPr>
      <w:r w:rsidRPr="00DC6D9E">
        <w:rPr>
          <w:lang w:val="fr-CA"/>
        </w:rPr>
        <w:lastRenderedPageBreak/>
        <w:t>Le manque de transparence du Commissaire peut</w:t>
      </w:r>
      <w:r w:rsidR="00A60236">
        <w:rPr>
          <w:lang w:val="fr-CA"/>
        </w:rPr>
        <w:t xml:space="preserve"> </w:t>
      </w:r>
      <w:r>
        <w:rPr>
          <w:lang w:val="fr-CA"/>
        </w:rPr>
        <w:t xml:space="preserve">être </w:t>
      </w:r>
      <w:r w:rsidRPr="00DC6D9E">
        <w:rPr>
          <w:lang w:val="fr-CA"/>
        </w:rPr>
        <w:t>constat</w:t>
      </w:r>
      <w:r>
        <w:rPr>
          <w:lang w:val="fr-CA"/>
        </w:rPr>
        <w:t xml:space="preserve">é </w:t>
      </w:r>
      <w:r w:rsidRPr="00DC6D9E">
        <w:rPr>
          <w:lang w:val="fr-CA"/>
        </w:rPr>
        <w:t xml:space="preserve">grâce à ses statistiques. </w:t>
      </w:r>
      <w:r>
        <w:rPr>
          <w:lang w:val="fr-CA"/>
        </w:rPr>
        <w:t>Ici, on peut observer que 38 des 103 (36.89%) motifs donnés afin de justifier une enquête sont « non spécifié</w:t>
      </w:r>
      <w:r w:rsidR="005F4A68">
        <w:rPr>
          <w:lang w:val="fr-CA"/>
        </w:rPr>
        <w:t>s</w:t>
      </w:r>
      <w:r>
        <w:rPr>
          <w:lang w:val="fr-CA"/>
        </w:rPr>
        <w:t> ».  En d’autres termes, plus du tier</w:t>
      </w:r>
      <w:r w:rsidR="005F4A68">
        <w:rPr>
          <w:lang w:val="fr-CA"/>
        </w:rPr>
        <w:t>s</w:t>
      </w:r>
      <w:r>
        <w:rPr>
          <w:lang w:val="fr-CA"/>
        </w:rPr>
        <w:t xml:space="preserve"> des motifs pour mettre fin à une enquête en 2021-2022 est non spécifié. </w:t>
      </w:r>
    </w:p>
    <w:p w14:paraId="42CDF2E7" w14:textId="77777777" w:rsidR="00D30E42" w:rsidRDefault="00D30E42" w:rsidP="00CE33F7">
      <w:pPr>
        <w:spacing w:line="360" w:lineRule="auto"/>
        <w:jc w:val="center"/>
        <w:rPr>
          <w:sz w:val="28"/>
          <w:szCs w:val="28"/>
          <w:u w:val="single"/>
          <w:lang w:val="fr-CA"/>
        </w:rPr>
      </w:pPr>
    </w:p>
    <w:p w14:paraId="0568356F" w14:textId="02784CA3" w:rsidR="006E279A" w:rsidRPr="000427D1" w:rsidRDefault="00DC6D9E" w:rsidP="000427D1">
      <w:pPr>
        <w:pStyle w:val="Heading1"/>
        <w:numPr>
          <w:ilvl w:val="0"/>
          <w:numId w:val="6"/>
        </w:numPr>
        <w:jc w:val="center"/>
        <w:rPr>
          <w:u w:val="single"/>
          <w:lang w:val="fr-CA"/>
        </w:rPr>
      </w:pPr>
      <w:bookmarkStart w:id="3" w:name="_Toc143850227"/>
      <w:r w:rsidRPr="000427D1">
        <w:rPr>
          <w:u w:val="single"/>
          <w:lang w:val="fr-CA"/>
        </w:rPr>
        <w:t>Comment se débrouille</w:t>
      </w:r>
      <w:r w:rsidR="00A61827">
        <w:rPr>
          <w:u w:val="single"/>
          <w:lang w:val="fr-CA"/>
        </w:rPr>
        <w:t>nt</w:t>
      </w:r>
      <w:r w:rsidRPr="000427D1">
        <w:rPr>
          <w:u w:val="single"/>
          <w:lang w:val="fr-CA"/>
        </w:rPr>
        <w:t xml:space="preserve"> les autres provinces</w:t>
      </w:r>
      <w:r w:rsidR="00757EB8" w:rsidRPr="000427D1">
        <w:rPr>
          <w:u w:val="single"/>
          <w:lang w:val="fr-CA"/>
        </w:rPr>
        <w:t>?</w:t>
      </w:r>
      <w:bookmarkEnd w:id="3"/>
    </w:p>
    <w:p w14:paraId="0A06C405" w14:textId="77777777" w:rsidR="00DC6D9E" w:rsidRDefault="00DC6D9E" w:rsidP="00CE33F7">
      <w:pPr>
        <w:spacing w:line="360" w:lineRule="auto"/>
        <w:jc w:val="center"/>
        <w:rPr>
          <w:sz w:val="28"/>
          <w:szCs w:val="28"/>
          <w:u w:val="single"/>
          <w:lang w:val="fr-CA"/>
        </w:rPr>
      </w:pPr>
    </w:p>
    <w:p w14:paraId="14688837" w14:textId="6D3CB21C" w:rsidR="00CE33F7" w:rsidRPr="00757EB8" w:rsidRDefault="00DC6D9E" w:rsidP="00CE33F7">
      <w:pPr>
        <w:pStyle w:val="NormalWeb"/>
        <w:spacing w:before="0" w:beforeAutospacing="0" w:after="0" w:afterAutospacing="0" w:line="360" w:lineRule="auto"/>
        <w:jc w:val="both"/>
        <w:rPr>
          <w:rFonts w:asciiTheme="minorHAnsi" w:hAnsiTheme="minorHAnsi" w:cstheme="minorHAnsi"/>
          <w:color w:val="000000"/>
          <w:lang w:val="fr-FR"/>
        </w:rPr>
      </w:pPr>
      <w:r w:rsidRPr="00CE33F7">
        <w:rPr>
          <w:rFonts w:asciiTheme="minorHAnsi" w:hAnsiTheme="minorHAnsi" w:cstheme="minorHAnsi"/>
          <w:lang w:val="fr-CA"/>
        </w:rPr>
        <w:t xml:space="preserve">Chaque province canadienne possède un système équivalent </w:t>
      </w:r>
      <w:r w:rsidR="00CE33F7" w:rsidRPr="00CE33F7">
        <w:rPr>
          <w:rFonts w:asciiTheme="minorHAnsi" w:hAnsiTheme="minorHAnsi" w:cstheme="minorHAnsi"/>
          <w:lang w:val="fr-CA"/>
        </w:rPr>
        <w:t>en ce qui concerne la déontologie policière. Par exemple, en Ontario l’Office</w:t>
      </w:r>
      <w:r w:rsidR="00CE33F7" w:rsidRPr="00CE33F7">
        <w:rPr>
          <w:rFonts w:asciiTheme="minorHAnsi" w:hAnsiTheme="minorHAnsi" w:cstheme="minorHAnsi"/>
          <w:i/>
          <w:iCs/>
          <w:color w:val="000000"/>
          <w:lang w:val="fr-FR"/>
        </w:rPr>
        <w:t xml:space="preserve"> of the Independent Police Review Director </w:t>
      </w:r>
      <w:r w:rsidR="00CE33F7" w:rsidRPr="00CE33F7">
        <w:rPr>
          <w:rFonts w:asciiTheme="minorHAnsi" w:hAnsiTheme="minorHAnsi" w:cstheme="minorHAnsi"/>
          <w:color w:val="000000"/>
          <w:lang w:val="fr-FR"/>
        </w:rPr>
        <w:t xml:space="preserve">occupe </w:t>
      </w:r>
      <w:r w:rsidR="00A60236">
        <w:rPr>
          <w:rFonts w:asciiTheme="minorHAnsi" w:hAnsiTheme="minorHAnsi" w:cstheme="minorHAnsi"/>
          <w:color w:val="000000"/>
          <w:lang w:val="fr-FR"/>
        </w:rPr>
        <w:t>cette fonction</w:t>
      </w:r>
      <w:r w:rsidR="00CE33F7" w:rsidRPr="00CE33F7">
        <w:rPr>
          <w:rFonts w:asciiTheme="minorHAnsi" w:hAnsiTheme="minorHAnsi" w:cstheme="minorHAnsi"/>
          <w:color w:val="000000"/>
          <w:lang w:val="fr-FR"/>
        </w:rPr>
        <w:t>. En Colombie</w:t>
      </w:r>
      <w:r w:rsidR="009C3C90">
        <w:rPr>
          <w:rFonts w:asciiTheme="minorHAnsi" w:hAnsiTheme="minorHAnsi" w:cstheme="minorHAnsi"/>
          <w:color w:val="000000"/>
          <w:lang w:val="fr-FR"/>
        </w:rPr>
        <w:t>-</w:t>
      </w:r>
      <w:r w:rsidR="00CE33F7" w:rsidRPr="00757EB8">
        <w:rPr>
          <w:rFonts w:asciiTheme="minorHAnsi" w:hAnsiTheme="minorHAnsi" w:cstheme="minorHAnsi"/>
          <w:color w:val="000000"/>
          <w:lang w:val="fr-FR"/>
        </w:rPr>
        <w:t>Britannique, il s’agit d</w:t>
      </w:r>
      <w:r w:rsidR="009C3C90">
        <w:rPr>
          <w:rFonts w:asciiTheme="minorHAnsi" w:hAnsiTheme="minorHAnsi" w:cstheme="minorHAnsi"/>
          <w:color w:val="000000"/>
          <w:lang w:val="fr-FR"/>
        </w:rPr>
        <w:t>e l’</w:t>
      </w:r>
      <w:r w:rsidR="00CE33F7" w:rsidRPr="00757EB8">
        <w:rPr>
          <w:rFonts w:asciiTheme="minorHAnsi" w:hAnsiTheme="minorHAnsi" w:cstheme="minorHAnsi"/>
          <w:i/>
          <w:iCs/>
          <w:color w:val="000000"/>
          <w:lang w:val="fr-FR"/>
        </w:rPr>
        <w:t>Office of the Police Complaint Commissionn</w:t>
      </w:r>
      <w:r w:rsidR="00CE33F7" w:rsidRPr="00757EB8">
        <w:rPr>
          <w:rFonts w:asciiTheme="minorHAnsi" w:hAnsiTheme="minorHAnsi" w:cstheme="minorHAnsi"/>
          <w:color w:val="000000"/>
          <w:lang w:val="fr-FR"/>
        </w:rPr>
        <w:t>er</w:t>
      </w:r>
      <w:r w:rsidR="004579BF">
        <w:rPr>
          <w:rStyle w:val="FootnoteReference"/>
          <w:rFonts w:asciiTheme="minorHAnsi" w:hAnsiTheme="minorHAnsi" w:cstheme="minorHAnsi"/>
          <w:color w:val="000000"/>
          <w:lang w:val="fr-FR"/>
        </w:rPr>
        <w:footnoteReference w:id="11"/>
      </w:r>
      <w:r w:rsidR="00CE33F7" w:rsidRPr="00757EB8">
        <w:rPr>
          <w:rFonts w:asciiTheme="minorHAnsi" w:hAnsiTheme="minorHAnsi" w:cstheme="minorHAnsi"/>
          <w:color w:val="000000"/>
          <w:lang w:val="fr-FR"/>
        </w:rPr>
        <w:t xml:space="preserve">. </w:t>
      </w:r>
    </w:p>
    <w:p w14:paraId="190B4EC7" w14:textId="77777777" w:rsidR="009F310A" w:rsidRPr="00757EB8" w:rsidRDefault="009F310A" w:rsidP="00CE33F7">
      <w:pPr>
        <w:pStyle w:val="NormalWeb"/>
        <w:spacing w:before="0" w:beforeAutospacing="0" w:after="0" w:afterAutospacing="0" w:line="360" w:lineRule="auto"/>
        <w:jc w:val="both"/>
        <w:rPr>
          <w:rFonts w:asciiTheme="minorHAnsi" w:hAnsiTheme="minorHAnsi" w:cstheme="minorHAnsi"/>
          <w:color w:val="000000"/>
          <w:lang w:val="fr-FR"/>
        </w:rPr>
      </w:pPr>
    </w:p>
    <w:p w14:paraId="7F40D5AE" w14:textId="1EBB60C6" w:rsidR="009F310A" w:rsidRPr="00757EB8" w:rsidRDefault="009F310A" w:rsidP="00CE33F7">
      <w:pPr>
        <w:pStyle w:val="NormalWeb"/>
        <w:spacing w:before="0" w:beforeAutospacing="0" w:after="0" w:afterAutospacing="0" w:line="360" w:lineRule="auto"/>
        <w:jc w:val="both"/>
        <w:rPr>
          <w:rFonts w:asciiTheme="minorHAnsi" w:hAnsiTheme="minorHAnsi" w:cstheme="minorHAnsi"/>
          <w:color w:val="000000"/>
          <w:lang w:val="fr-FR"/>
        </w:rPr>
      </w:pPr>
      <w:r w:rsidRPr="00757EB8">
        <w:rPr>
          <w:rFonts w:asciiTheme="minorHAnsi" w:hAnsiTheme="minorHAnsi" w:cstheme="minorHAnsi"/>
          <w:color w:val="000000"/>
          <w:lang w:val="fr-FR"/>
        </w:rPr>
        <w:t xml:space="preserve">Voici quelques statistiques concernant le commissaire en Ontario : </w:t>
      </w:r>
    </w:p>
    <w:p w14:paraId="198B5C27" w14:textId="77777777" w:rsidR="009F310A" w:rsidRPr="000427D1" w:rsidRDefault="009F310A" w:rsidP="00CE33F7">
      <w:pPr>
        <w:pStyle w:val="NormalWeb"/>
        <w:spacing w:before="0" w:beforeAutospacing="0" w:after="0" w:afterAutospacing="0" w:line="360" w:lineRule="auto"/>
        <w:jc w:val="both"/>
        <w:rPr>
          <w:rFonts w:asciiTheme="minorHAnsi" w:hAnsiTheme="minorHAnsi" w:cstheme="minorHAnsi"/>
          <w:color w:val="000000"/>
          <w:u w:val="single"/>
          <w:lang w:val="fr-FR"/>
        </w:rPr>
      </w:pPr>
    </w:p>
    <w:p w14:paraId="5AD48E5B" w14:textId="06963B68" w:rsidR="009F310A" w:rsidRPr="000427D1" w:rsidRDefault="009F310A" w:rsidP="000427D1">
      <w:pPr>
        <w:pStyle w:val="Heading2"/>
        <w:numPr>
          <w:ilvl w:val="1"/>
          <w:numId w:val="6"/>
        </w:numPr>
        <w:rPr>
          <w:sz w:val="22"/>
          <w:szCs w:val="22"/>
          <w:u w:val="single"/>
          <w:lang w:val="fr-FR"/>
        </w:rPr>
      </w:pPr>
      <w:bookmarkStart w:id="4" w:name="_Toc143850228"/>
      <w:r w:rsidRPr="000427D1">
        <w:rPr>
          <w:u w:val="single"/>
          <w:lang w:val="fr-FR"/>
        </w:rPr>
        <w:t>Budget annuel</w:t>
      </w:r>
      <w:r w:rsidR="0039017B">
        <w:rPr>
          <w:u w:val="single"/>
          <w:lang w:val="fr-FR"/>
        </w:rPr>
        <w:t xml:space="preserve"> </w:t>
      </w:r>
      <w:r w:rsidR="00A61827">
        <w:rPr>
          <w:u w:val="single"/>
          <w:lang w:val="fr-FR"/>
        </w:rPr>
        <w:t>o</w:t>
      </w:r>
      <w:r w:rsidR="0039017B">
        <w:rPr>
          <w:u w:val="single"/>
          <w:lang w:val="fr-FR"/>
        </w:rPr>
        <w:t>ntarien</w:t>
      </w:r>
      <w:r w:rsidRPr="000427D1">
        <w:rPr>
          <w:u w:val="single"/>
          <w:lang w:val="fr-FR"/>
        </w:rPr>
        <w:t xml:space="preserve"> sur l’année 2021-2022</w:t>
      </w:r>
      <w:bookmarkEnd w:id="4"/>
    </w:p>
    <w:p w14:paraId="27662196" w14:textId="77777777" w:rsidR="009F310A" w:rsidRPr="00757EB8" w:rsidRDefault="009F310A" w:rsidP="009F310A">
      <w:pPr>
        <w:pStyle w:val="NormalWeb"/>
        <w:spacing w:before="0" w:beforeAutospacing="0" w:after="0" w:afterAutospacing="0"/>
        <w:rPr>
          <w:rFonts w:asciiTheme="minorHAnsi" w:hAnsiTheme="minorHAnsi" w:cstheme="minorHAnsi"/>
          <w:color w:val="000000"/>
          <w:lang w:val="fr-FR"/>
        </w:rPr>
      </w:pPr>
      <w:r w:rsidRPr="00757EB8">
        <w:rPr>
          <w:rFonts w:asciiTheme="minorHAnsi" w:hAnsiTheme="minorHAnsi" w:cstheme="minorHAnsi"/>
          <w:color w:val="000000"/>
          <w:lang w:val="fr-FR"/>
        </w:rPr>
        <w:t>    </w:t>
      </w:r>
    </w:p>
    <w:p w14:paraId="26704408" w14:textId="3A98C258" w:rsidR="009F310A" w:rsidRPr="00757EB8" w:rsidRDefault="009F310A" w:rsidP="009F310A">
      <w:pPr>
        <w:pStyle w:val="NormalWeb"/>
        <w:spacing w:before="0" w:beforeAutospacing="0" w:after="0" w:afterAutospacing="0"/>
        <w:rPr>
          <w:rFonts w:asciiTheme="minorHAnsi" w:hAnsiTheme="minorHAnsi" w:cstheme="minorHAnsi"/>
          <w:color w:val="000000"/>
        </w:rPr>
      </w:pPr>
      <w:r w:rsidRPr="00757EB8">
        <w:rPr>
          <w:rFonts w:asciiTheme="minorHAnsi" w:hAnsiTheme="minorHAnsi" w:cstheme="minorHAnsi"/>
          <w:color w:val="000000"/>
        </w:rPr>
        <w:t>Budget de “Office of the independent Police Review Director” 6.36</w:t>
      </w:r>
      <w:r w:rsidR="0039017B">
        <w:rPr>
          <w:rFonts w:asciiTheme="minorHAnsi" w:hAnsiTheme="minorHAnsi" w:cstheme="minorHAnsi"/>
          <w:color w:val="000000"/>
        </w:rPr>
        <w:t>1</w:t>
      </w:r>
      <w:r w:rsidRPr="00757EB8">
        <w:rPr>
          <w:rFonts w:asciiTheme="minorHAnsi" w:hAnsiTheme="minorHAnsi" w:cstheme="minorHAnsi"/>
          <w:color w:val="000000"/>
        </w:rPr>
        <w:t>M$</w:t>
      </w:r>
      <w:r w:rsidR="0039017B">
        <w:rPr>
          <w:rStyle w:val="FootnoteReference"/>
          <w:rFonts w:asciiTheme="minorHAnsi" w:hAnsiTheme="minorHAnsi" w:cstheme="minorHAnsi"/>
          <w:color w:val="000000"/>
        </w:rPr>
        <w:footnoteReference w:id="12"/>
      </w:r>
    </w:p>
    <w:p w14:paraId="47412F5D" w14:textId="77777777" w:rsidR="0063724F" w:rsidRPr="00757EB8" w:rsidRDefault="0063724F" w:rsidP="009F310A">
      <w:pPr>
        <w:pStyle w:val="NormalWeb"/>
        <w:spacing w:before="0" w:beforeAutospacing="0" w:after="0" w:afterAutospacing="0"/>
        <w:rPr>
          <w:rFonts w:asciiTheme="minorHAnsi" w:hAnsiTheme="minorHAnsi" w:cstheme="minorHAnsi"/>
          <w:color w:val="000000"/>
        </w:rPr>
      </w:pPr>
    </w:p>
    <w:p w14:paraId="2CC62783" w14:textId="5C20A9CF" w:rsidR="0063724F" w:rsidRPr="00757EB8" w:rsidRDefault="0063724F" w:rsidP="009F310A">
      <w:pPr>
        <w:pStyle w:val="NormalWeb"/>
        <w:spacing w:before="0" w:beforeAutospacing="0" w:after="0" w:afterAutospacing="0"/>
        <w:rPr>
          <w:rFonts w:asciiTheme="minorHAnsi" w:hAnsiTheme="minorHAnsi" w:cstheme="minorHAnsi"/>
          <w:color w:val="000000"/>
          <w:lang w:val="fr-FR"/>
        </w:rPr>
      </w:pPr>
      <w:r w:rsidRPr="00757EB8">
        <w:rPr>
          <w:rFonts w:asciiTheme="minorHAnsi" w:hAnsiTheme="minorHAnsi" w:cstheme="minorHAnsi"/>
          <w:color w:val="000000"/>
          <w:lang w:val="fr-FR"/>
        </w:rPr>
        <w:t xml:space="preserve">*À noter que l’Ontario est plus </w:t>
      </w:r>
      <w:r w:rsidR="00757EB8" w:rsidRPr="00757EB8">
        <w:rPr>
          <w:rFonts w:asciiTheme="minorHAnsi" w:hAnsiTheme="minorHAnsi" w:cstheme="minorHAnsi"/>
          <w:color w:val="000000"/>
          <w:lang w:val="fr-FR"/>
        </w:rPr>
        <w:t>peuplé</w:t>
      </w:r>
      <w:r w:rsidRPr="00757EB8">
        <w:rPr>
          <w:rFonts w:asciiTheme="minorHAnsi" w:hAnsiTheme="minorHAnsi" w:cstheme="minorHAnsi"/>
          <w:color w:val="000000"/>
          <w:lang w:val="fr-FR"/>
        </w:rPr>
        <w:t xml:space="preserve"> que Québec* </w:t>
      </w:r>
    </w:p>
    <w:p w14:paraId="3BEEB1D6" w14:textId="77777777" w:rsidR="009F310A" w:rsidRPr="00757EB8" w:rsidRDefault="009F310A" w:rsidP="009F310A">
      <w:pPr>
        <w:rPr>
          <w:rFonts w:cstheme="minorHAnsi"/>
          <w:color w:val="000000"/>
          <w:lang w:val="fr-FR"/>
        </w:rPr>
      </w:pPr>
    </w:p>
    <w:p w14:paraId="0611A457" w14:textId="77777777" w:rsidR="009F310A" w:rsidRPr="000427D1" w:rsidRDefault="009F310A" w:rsidP="009F310A">
      <w:pPr>
        <w:pStyle w:val="NormalWeb"/>
        <w:spacing w:before="0" w:beforeAutospacing="0" w:after="0" w:afterAutospacing="0"/>
        <w:jc w:val="center"/>
        <w:rPr>
          <w:rFonts w:asciiTheme="minorHAnsi" w:hAnsiTheme="minorHAnsi" w:cstheme="minorHAnsi"/>
          <w:color w:val="000000"/>
          <w:u w:val="single"/>
          <w:lang w:val="fr-FR"/>
        </w:rPr>
      </w:pPr>
    </w:p>
    <w:p w14:paraId="56251946" w14:textId="3755CD6D" w:rsidR="009F310A" w:rsidRPr="000427D1" w:rsidRDefault="001F4DD5" w:rsidP="000427D1">
      <w:pPr>
        <w:pStyle w:val="Heading2"/>
        <w:numPr>
          <w:ilvl w:val="1"/>
          <w:numId w:val="6"/>
        </w:numPr>
        <w:rPr>
          <w:sz w:val="22"/>
          <w:szCs w:val="22"/>
          <w:u w:val="single"/>
          <w:lang w:val="fr-FR"/>
        </w:rPr>
      </w:pPr>
      <w:bookmarkStart w:id="5" w:name="_Toc143850229"/>
      <w:r>
        <w:rPr>
          <w:u w:val="single"/>
          <w:shd w:val="clear" w:color="auto" w:fill="FFFFFF"/>
          <w:lang w:val="fr-FR"/>
        </w:rPr>
        <w:t xml:space="preserve">Statistiques sur </w:t>
      </w:r>
      <w:r w:rsidR="00272065">
        <w:rPr>
          <w:u w:val="single"/>
          <w:shd w:val="clear" w:color="auto" w:fill="FFFFFF"/>
          <w:lang w:val="fr-FR"/>
        </w:rPr>
        <w:t>les plaintes</w:t>
      </w:r>
      <w:r w:rsidR="0039017B">
        <w:rPr>
          <w:u w:val="single"/>
          <w:shd w:val="clear" w:color="auto" w:fill="FFFFFF"/>
          <w:lang w:val="fr-FR"/>
        </w:rPr>
        <w:t xml:space="preserve"> en Ontario</w:t>
      </w:r>
      <w:r>
        <w:rPr>
          <w:u w:val="single"/>
          <w:shd w:val="clear" w:color="auto" w:fill="FFFFFF"/>
          <w:lang w:val="fr-FR"/>
        </w:rPr>
        <w:t xml:space="preserve"> en</w:t>
      </w:r>
      <w:r w:rsidR="009F310A" w:rsidRPr="000427D1">
        <w:rPr>
          <w:u w:val="single"/>
          <w:shd w:val="clear" w:color="auto" w:fill="FFFFFF"/>
          <w:lang w:val="fr-FR"/>
        </w:rPr>
        <w:t xml:space="preserve"> 2021-2022 :</w:t>
      </w:r>
      <w:bookmarkEnd w:id="5"/>
      <w:r w:rsidR="009F310A" w:rsidRPr="000427D1">
        <w:rPr>
          <w:sz w:val="22"/>
          <w:szCs w:val="22"/>
          <w:u w:val="single"/>
          <w:lang w:val="fr-FR"/>
        </w:rPr>
        <w:t> </w:t>
      </w:r>
    </w:p>
    <w:p w14:paraId="68478751" w14:textId="77777777" w:rsidR="009F310A" w:rsidRPr="00757EB8" w:rsidRDefault="009F310A" w:rsidP="009F310A">
      <w:pPr>
        <w:spacing w:after="240"/>
        <w:rPr>
          <w:rFonts w:cstheme="minorHAnsi"/>
          <w:color w:val="000000"/>
          <w:lang w:val="fr-FR"/>
        </w:rPr>
      </w:pPr>
    </w:p>
    <w:p w14:paraId="1B1F160E" w14:textId="12A423C7" w:rsidR="009F310A" w:rsidRPr="00757EB8" w:rsidRDefault="009F310A" w:rsidP="009F310A">
      <w:pPr>
        <w:pStyle w:val="NormalWeb"/>
        <w:spacing w:before="0" w:beforeAutospacing="0" w:after="0" w:afterAutospacing="0"/>
        <w:jc w:val="both"/>
        <w:rPr>
          <w:rFonts w:asciiTheme="minorHAnsi" w:hAnsiTheme="minorHAnsi" w:cstheme="minorHAnsi"/>
          <w:color w:val="000000"/>
          <w:lang w:val="fr-FR"/>
        </w:rPr>
      </w:pPr>
      <w:r w:rsidRPr="00757EB8">
        <w:rPr>
          <w:rFonts w:asciiTheme="minorHAnsi" w:hAnsiTheme="minorHAnsi" w:cstheme="minorHAnsi"/>
          <w:color w:val="000000"/>
          <w:lang w:val="fr-FR"/>
        </w:rPr>
        <w:t>Nombre de plaintes reçues en 2021-22</w:t>
      </w:r>
      <w:r w:rsidR="0039017B">
        <w:rPr>
          <w:rFonts w:asciiTheme="minorHAnsi" w:hAnsiTheme="minorHAnsi" w:cstheme="minorHAnsi"/>
          <w:color w:val="000000"/>
          <w:lang w:val="fr-FR"/>
        </w:rPr>
        <w:t xml:space="preserve"> </w:t>
      </w:r>
      <w:r w:rsidRPr="00757EB8">
        <w:rPr>
          <w:rFonts w:asciiTheme="minorHAnsi" w:hAnsiTheme="minorHAnsi" w:cstheme="minorHAnsi"/>
          <w:color w:val="000000"/>
          <w:lang w:val="fr-FR"/>
        </w:rPr>
        <w:t>: 5114</w:t>
      </w:r>
      <w:r w:rsidR="0039017B">
        <w:rPr>
          <w:rStyle w:val="FootnoteReference"/>
          <w:rFonts w:asciiTheme="minorHAnsi" w:hAnsiTheme="minorHAnsi" w:cstheme="minorHAnsi"/>
          <w:color w:val="000000"/>
          <w:lang w:val="fr-FR"/>
        </w:rPr>
        <w:footnoteReference w:id="13"/>
      </w:r>
      <w:r w:rsidRPr="00757EB8">
        <w:rPr>
          <w:rFonts w:asciiTheme="minorHAnsi" w:hAnsiTheme="minorHAnsi" w:cstheme="minorHAnsi"/>
          <w:color w:val="000000"/>
          <w:lang w:val="fr-FR"/>
        </w:rPr>
        <w:t> </w:t>
      </w:r>
    </w:p>
    <w:p w14:paraId="129DD295" w14:textId="1C6C04EB" w:rsidR="009F310A" w:rsidRPr="00757EB8" w:rsidRDefault="009F310A" w:rsidP="009F310A">
      <w:pPr>
        <w:pStyle w:val="NormalWeb"/>
        <w:spacing w:before="0" w:beforeAutospacing="0" w:after="0" w:afterAutospacing="0"/>
        <w:jc w:val="both"/>
        <w:rPr>
          <w:rFonts w:asciiTheme="minorHAnsi" w:hAnsiTheme="minorHAnsi" w:cstheme="minorHAnsi"/>
          <w:color w:val="000000"/>
          <w:lang w:val="fr-FR"/>
        </w:rPr>
      </w:pPr>
      <w:r w:rsidRPr="00757EB8">
        <w:rPr>
          <w:rFonts w:asciiTheme="minorHAnsi" w:hAnsiTheme="minorHAnsi" w:cstheme="minorHAnsi"/>
          <w:color w:val="000000"/>
          <w:lang w:val="fr-FR"/>
        </w:rPr>
        <w:t>Total des plaintes avec les années ultérieures</w:t>
      </w:r>
      <w:r w:rsidR="0039017B">
        <w:rPr>
          <w:rFonts w:asciiTheme="minorHAnsi" w:hAnsiTheme="minorHAnsi" w:cstheme="minorHAnsi"/>
          <w:color w:val="000000"/>
          <w:lang w:val="fr-FR"/>
        </w:rPr>
        <w:t xml:space="preserve"> </w:t>
      </w:r>
      <w:r w:rsidRPr="00757EB8">
        <w:rPr>
          <w:rFonts w:asciiTheme="minorHAnsi" w:hAnsiTheme="minorHAnsi" w:cstheme="minorHAnsi"/>
          <w:color w:val="000000"/>
          <w:lang w:val="fr-FR"/>
        </w:rPr>
        <w:t>:  6049</w:t>
      </w:r>
      <w:r w:rsidR="0039017B">
        <w:rPr>
          <w:rStyle w:val="FootnoteReference"/>
          <w:rFonts w:asciiTheme="minorHAnsi" w:hAnsiTheme="minorHAnsi" w:cstheme="minorHAnsi"/>
          <w:color w:val="000000"/>
          <w:lang w:val="fr-FR"/>
        </w:rPr>
        <w:footnoteReference w:id="14"/>
      </w:r>
    </w:p>
    <w:p w14:paraId="4BA45A25" w14:textId="16ABBC7B" w:rsidR="009F310A" w:rsidRPr="00757EB8" w:rsidRDefault="009F310A" w:rsidP="009F310A">
      <w:pPr>
        <w:pStyle w:val="NormalWeb"/>
        <w:spacing w:before="0" w:beforeAutospacing="0" w:after="0" w:afterAutospacing="0"/>
        <w:jc w:val="both"/>
        <w:rPr>
          <w:rFonts w:asciiTheme="minorHAnsi" w:hAnsiTheme="minorHAnsi" w:cstheme="minorHAnsi"/>
          <w:color w:val="000000"/>
          <w:lang w:val="fr-FR"/>
        </w:rPr>
      </w:pPr>
      <w:r w:rsidRPr="00757EB8">
        <w:rPr>
          <w:rFonts w:asciiTheme="minorHAnsi" w:hAnsiTheme="minorHAnsi" w:cstheme="minorHAnsi"/>
          <w:color w:val="000000"/>
          <w:lang w:val="fr-FR"/>
        </w:rPr>
        <w:t>Nombre de “Early resolution” (P.17) : 493</w:t>
      </w:r>
      <w:r w:rsidR="0039017B">
        <w:rPr>
          <w:rStyle w:val="FootnoteReference"/>
          <w:rFonts w:asciiTheme="minorHAnsi" w:hAnsiTheme="minorHAnsi" w:cstheme="minorHAnsi"/>
          <w:color w:val="000000"/>
          <w:lang w:val="fr-FR"/>
        </w:rPr>
        <w:footnoteReference w:id="15"/>
      </w:r>
    </w:p>
    <w:p w14:paraId="7B232A3C" w14:textId="1B197CB2" w:rsidR="009F310A" w:rsidRPr="00757EB8" w:rsidRDefault="009F310A" w:rsidP="009F310A">
      <w:pPr>
        <w:pStyle w:val="NormalWeb"/>
        <w:spacing w:before="0" w:beforeAutospacing="0" w:after="0" w:afterAutospacing="0"/>
        <w:jc w:val="both"/>
        <w:rPr>
          <w:rFonts w:asciiTheme="minorHAnsi" w:hAnsiTheme="minorHAnsi" w:cstheme="minorHAnsi"/>
          <w:color w:val="000000"/>
          <w:lang w:val="fr-FR"/>
        </w:rPr>
      </w:pPr>
      <w:r w:rsidRPr="00757EB8">
        <w:rPr>
          <w:rFonts w:asciiTheme="minorHAnsi" w:hAnsiTheme="minorHAnsi" w:cstheme="minorHAnsi"/>
          <w:color w:val="000000"/>
          <w:lang w:val="fr-FR"/>
        </w:rPr>
        <w:lastRenderedPageBreak/>
        <w:t>Nombre de “Mediation” (P.17) : 2</w:t>
      </w:r>
      <w:r w:rsidR="0039017B">
        <w:rPr>
          <w:rStyle w:val="FootnoteReference"/>
          <w:rFonts w:asciiTheme="minorHAnsi" w:hAnsiTheme="minorHAnsi" w:cstheme="minorHAnsi"/>
          <w:color w:val="000000"/>
          <w:lang w:val="fr-FR"/>
        </w:rPr>
        <w:footnoteReference w:id="16"/>
      </w:r>
    </w:p>
    <w:p w14:paraId="0F18361D" w14:textId="2441DFE6" w:rsidR="009F310A" w:rsidRPr="00757EB8" w:rsidRDefault="009F310A" w:rsidP="009F310A">
      <w:pPr>
        <w:pStyle w:val="NormalWeb"/>
        <w:spacing w:before="0" w:beforeAutospacing="0" w:after="0" w:afterAutospacing="0"/>
        <w:jc w:val="both"/>
        <w:rPr>
          <w:rFonts w:asciiTheme="minorHAnsi" w:hAnsiTheme="minorHAnsi" w:cstheme="minorHAnsi"/>
          <w:color w:val="000000"/>
          <w:lang w:val="fr-FR"/>
        </w:rPr>
      </w:pPr>
      <w:r w:rsidRPr="00757EB8">
        <w:rPr>
          <w:rFonts w:asciiTheme="minorHAnsi" w:hAnsiTheme="minorHAnsi" w:cstheme="minorHAnsi"/>
          <w:color w:val="000000"/>
          <w:lang w:val="fr-FR"/>
        </w:rPr>
        <w:t>Nombre de plaintes : “screen in” (P.18) : 1850</w:t>
      </w:r>
      <w:r w:rsidR="0039017B">
        <w:rPr>
          <w:rStyle w:val="FootnoteReference"/>
          <w:rFonts w:asciiTheme="minorHAnsi" w:hAnsiTheme="minorHAnsi" w:cstheme="minorHAnsi"/>
          <w:color w:val="000000"/>
          <w:lang w:val="fr-FR"/>
        </w:rPr>
        <w:footnoteReference w:id="17"/>
      </w:r>
    </w:p>
    <w:p w14:paraId="2EE0A2D2" w14:textId="0B705CD8" w:rsidR="009F310A" w:rsidRPr="00757EB8" w:rsidRDefault="009F310A" w:rsidP="009F310A">
      <w:pPr>
        <w:pStyle w:val="NormalWeb"/>
        <w:spacing w:before="0" w:beforeAutospacing="0" w:after="0" w:afterAutospacing="0"/>
        <w:jc w:val="both"/>
        <w:rPr>
          <w:rFonts w:asciiTheme="minorHAnsi" w:hAnsiTheme="minorHAnsi" w:cstheme="minorHAnsi"/>
          <w:color w:val="000000"/>
          <w:lang w:val="fr-FR"/>
        </w:rPr>
      </w:pPr>
      <w:r w:rsidRPr="00757EB8">
        <w:rPr>
          <w:rFonts w:asciiTheme="minorHAnsi" w:hAnsiTheme="minorHAnsi" w:cstheme="minorHAnsi"/>
          <w:color w:val="000000"/>
          <w:lang w:val="fr-FR"/>
        </w:rPr>
        <w:t>Nombre de plaintes “screen out” (P.18) : 3099</w:t>
      </w:r>
      <w:r w:rsidR="0039017B">
        <w:rPr>
          <w:rStyle w:val="FootnoteReference"/>
          <w:rFonts w:asciiTheme="minorHAnsi" w:hAnsiTheme="minorHAnsi" w:cstheme="minorHAnsi"/>
          <w:color w:val="000000"/>
          <w:lang w:val="fr-FR"/>
        </w:rPr>
        <w:footnoteReference w:id="18"/>
      </w:r>
    </w:p>
    <w:p w14:paraId="7AD3132C" w14:textId="77777777" w:rsidR="009F310A" w:rsidRPr="00757EB8" w:rsidRDefault="009F310A" w:rsidP="009F310A">
      <w:pPr>
        <w:rPr>
          <w:rFonts w:cstheme="minorHAnsi"/>
          <w:color w:val="000000"/>
          <w:lang w:val="fr-FR"/>
        </w:rPr>
      </w:pPr>
    </w:p>
    <w:p w14:paraId="6296DFBE" w14:textId="77777777" w:rsidR="009F310A" w:rsidRPr="00757EB8" w:rsidRDefault="009F310A" w:rsidP="009F310A">
      <w:pPr>
        <w:rPr>
          <w:rFonts w:cstheme="minorHAnsi"/>
          <w:color w:val="000000"/>
          <w:lang w:val="fr-FR"/>
        </w:rPr>
      </w:pPr>
    </w:p>
    <w:p w14:paraId="66C488C9" w14:textId="07737185" w:rsidR="009F310A" w:rsidRPr="00757EB8" w:rsidRDefault="009F310A" w:rsidP="009F310A">
      <w:pPr>
        <w:rPr>
          <w:rFonts w:cstheme="minorHAnsi"/>
          <w:color w:val="000000"/>
          <w:lang w:val="fr-FR"/>
        </w:rPr>
      </w:pPr>
      <w:r w:rsidRPr="00757EB8">
        <w:rPr>
          <w:rFonts w:cstheme="minorHAnsi"/>
          <w:color w:val="000000"/>
          <w:lang w:val="fr-FR"/>
        </w:rPr>
        <w:t xml:space="preserve">Après une analyse du système </w:t>
      </w:r>
      <w:r w:rsidR="009C3C90">
        <w:rPr>
          <w:rFonts w:cstheme="minorHAnsi"/>
          <w:color w:val="000000"/>
          <w:lang w:val="fr-FR"/>
        </w:rPr>
        <w:t>o</w:t>
      </w:r>
      <w:r w:rsidRPr="00757EB8">
        <w:rPr>
          <w:rFonts w:cstheme="minorHAnsi"/>
          <w:color w:val="000000"/>
          <w:lang w:val="fr-FR"/>
        </w:rPr>
        <w:t>ntari</w:t>
      </w:r>
      <w:r w:rsidR="0063724F" w:rsidRPr="00757EB8">
        <w:rPr>
          <w:rFonts w:cstheme="minorHAnsi"/>
          <w:color w:val="000000"/>
          <w:lang w:val="fr-FR"/>
        </w:rPr>
        <w:t xml:space="preserve">en, il est possible de conclure deux choses : </w:t>
      </w:r>
    </w:p>
    <w:p w14:paraId="5F98FB43" w14:textId="77777777" w:rsidR="0063724F" w:rsidRPr="00757EB8" w:rsidRDefault="0063724F" w:rsidP="009F310A">
      <w:pPr>
        <w:rPr>
          <w:rFonts w:cstheme="minorHAnsi"/>
          <w:color w:val="000000"/>
          <w:lang w:val="fr-FR"/>
        </w:rPr>
      </w:pPr>
    </w:p>
    <w:p w14:paraId="6AAD3D88" w14:textId="16153C92" w:rsidR="009F310A" w:rsidRPr="00757EB8" w:rsidRDefault="0063724F" w:rsidP="009F310A">
      <w:pPr>
        <w:pStyle w:val="ListParagraph"/>
        <w:numPr>
          <w:ilvl w:val="0"/>
          <w:numId w:val="3"/>
        </w:numPr>
        <w:rPr>
          <w:rFonts w:cstheme="minorHAnsi"/>
          <w:color w:val="000000"/>
          <w:lang w:val="fr-FR"/>
        </w:rPr>
      </w:pPr>
      <w:r w:rsidRPr="00757EB8">
        <w:rPr>
          <w:rFonts w:cstheme="minorHAnsi"/>
          <w:color w:val="000000"/>
          <w:lang w:val="fr-FR"/>
        </w:rPr>
        <w:t>Premièrement, les données sont sensiblement similaire</w:t>
      </w:r>
      <w:r w:rsidR="009C3C90">
        <w:rPr>
          <w:rFonts w:cstheme="minorHAnsi"/>
          <w:color w:val="000000"/>
          <w:lang w:val="fr-FR"/>
        </w:rPr>
        <w:t>s</w:t>
      </w:r>
      <w:r w:rsidRPr="00757EB8">
        <w:rPr>
          <w:rFonts w:cstheme="minorHAnsi"/>
          <w:color w:val="000000"/>
          <w:lang w:val="fr-FR"/>
        </w:rPr>
        <w:t xml:space="preserve"> à celles d</w:t>
      </w:r>
      <w:r w:rsidR="00FF2BA3">
        <w:rPr>
          <w:rFonts w:cstheme="minorHAnsi"/>
          <w:color w:val="000000"/>
          <w:lang w:val="fr-FR"/>
        </w:rPr>
        <w:t>u</w:t>
      </w:r>
      <w:r w:rsidRPr="00757EB8">
        <w:rPr>
          <w:rFonts w:cstheme="minorHAnsi"/>
          <w:color w:val="000000"/>
          <w:lang w:val="fr-FR"/>
        </w:rPr>
        <w:t xml:space="preserve"> Québec. Par exemple</w:t>
      </w:r>
      <w:r w:rsidR="009C3C90">
        <w:rPr>
          <w:rFonts w:cstheme="minorHAnsi"/>
          <w:color w:val="000000"/>
          <w:lang w:val="fr-FR"/>
        </w:rPr>
        <w:t>,</w:t>
      </w:r>
      <w:r w:rsidRPr="00757EB8">
        <w:rPr>
          <w:rFonts w:cstheme="minorHAnsi"/>
          <w:color w:val="000000"/>
          <w:lang w:val="fr-FR"/>
        </w:rPr>
        <w:t xml:space="preserve"> voici le budget par habitant des deux provinces : </w:t>
      </w:r>
    </w:p>
    <w:p w14:paraId="225E2D01" w14:textId="77777777" w:rsidR="0063724F" w:rsidRPr="00757EB8" w:rsidRDefault="0063724F" w:rsidP="0063724F">
      <w:pPr>
        <w:rPr>
          <w:rFonts w:cstheme="minorHAnsi"/>
          <w:color w:val="000000"/>
          <w:lang w:val="fr-FR"/>
        </w:rPr>
      </w:pPr>
    </w:p>
    <w:p w14:paraId="3C31F694" w14:textId="77777777" w:rsidR="0063724F" w:rsidRPr="00757EB8" w:rsidRDefault="0063724F" w:rsidP="0063724F">
      <w:pPr>
        <w:rPr>
          <w:rFonts w:cstheme="minorHAnsi"/>
          <w:color w:val="000000"/>
          <w:lang w:val="fr-FR"/>
        </w:rPr>
      </w:pPr>
    </w:p>
    <w:p w14:paraId="08819683" w14:textId="77777777" w:rsidR="0063724F" w:rsidRPr="00757EB8" w:rsidRDefault="0063724F" w:rsidP="0063724F">
      <w:pPr>
        <w:pStyle w:val="NormalWeb"/>
        <w:spacing w:before="0" w:beforeAutospacing="0" w:after="0" w:afterAutospacing="0"/>
        <w:ind w:left="720"/>
        <w:rPr>
          <w:rFonts w:asciiTheme="minorHAnsi" w:hAnsiTheme="minorHAnsi" w:cstheme="minorHAnsi"/>
          <w:color w:val="000000"/>
          <w:lang w:val="fr-FR"/>
        </w:rPr>
      </w:pPr>
      <w:r w:rsidRPr="00757EB8">
        <w:rPr>
          <w:rFonts w:asciiTheme="minorHAnsi" w:hAnsiTheme="minorHAnsi" w:cstheme="minorHAnsi"/>
          <w:color w:val="000000"/>
          <w:lang w:val="fr-FR"/>
        </w:rPr>
        <w:t>Budget du Commissaire à la déontologie policière : 3.86M$</w:t>
      </w:r>
    </w:p>
    <w:p w14:paraId="6E77CE6B" w14:textId="7AA44CD2" w:rsidR="0063724F" w:rsidRPr="00757EB8" w:rsidRDefault="0063724F" w:rsidP="0063724F">
      <w:pPr>
        <w:pStyle w:val="NormalWeb"/>
        <w:spacing w:before="0" w:beforeAutospacing="0" w:after="0" w:afterAutospacing="0"/>
        <w:ind w:left="720"/>
        <w:rPr>
          <w:rFonts w:asciiTheme="minorHAnsi" w:hAnsiTheme="minorHAnsi" w:cstheme="minorHAnsi"/>
          <w:color w:val="000000"/>
        </w:rPr>
      </w:pPr>
      <w:r w:rsidRPr="00757EB8">
        <w:rPr>
          <w:rFonts w:asciiTheme="minorHAnsi" w:hAnsiTheme="minorHAnsi" w:cstheme="minorHAnsi"/>
          <w:color w:val="000000"/>
        </w:rPr>
        <w:t>Budget de “Office of the independent Police Review Director” 6.36</w:t>
      </w:r>
      <w:r w:rsidR="009C3C90">
        <w:rPr>
          <w:rFonts w:asciiTheme="minorHAnsi" w:hAnsiTheme="minorHAnsi" w:cstheme="minorHAnsi"/>
          <w:color w:val="000000"/>
        </w:rPr>
        <w:t>1</w:t>
      </w:r>
      <w:r w:rsidRPr="00757EB8">
        <w:rPr>
          <w:rFonts w:asciiTheme="minorHAnsi" w:hAnsiTheme="minorHAnsi" w:cstheme="minorHAnsi"/>
          <w:color w:val="000000"/>
        </w:rPr>
        <w:t>M$</w:t>
      </w:r>
    </w:p>
    <w:p w14:paraId="6C79DC09" w14:textId="77777777" w:rsidR="0063724F" w:rsidRPr="00757EB8" w:rsidRDefault="0063724F" w:rsidP="0063724F">
      <w:pPr>
        <w:pStyle w:val="ListParagraph"/>
        <w:rPr>
          <w:rFonts w:cstheme="minorHAnsi"/>
          <w:color w:val="000000"/>
        </w:rPr>
      </w:pPr>
    </w:p>
    <w:p w14:paraId="02C9451F" w14:textId="5C7F5A62" w:rsidR="009F310A" w:rsidRPr="00757EB8" w:rsidRDefault="009F310A" w:rsidP="0063724F">
      <w:pPr>
        <w:pStyle w:val="NormalWeb"/>
        <w:spacing w:before="0" w:beforeAutospacing="0" w:after="0" w:afterAutospacing="0"/>
        <w:ind w:left="720"/>
        <w:rPr>
          <w:rFonts w:asciiTheme="minorHAnsi" w:hAnsiTheme="minorHAnsi" w:cstheme="minorHAnsi"/>
          <w:color w:val="000000"/>
          <w:lang w:val="fr-FR"/>
        </w:rPr>
      </w:pPr>
      <w:r w:rsidRPr="00757EB8">
        <w:rPr>
          <w:rFonts w:asciiTheme="minorHAnsi" w:hAnsiTheme="minorHAnsi" w:cstheme="minorHAnsi"/>
          <w:color w:val="000000"/>
          <w:lang w:val="fr-FR"/>
        </w:rPr>
        <w:t xml:space="preserve">Population Ontario : 14.57M (2019) </w:t>
      </w:r>
    </w:p>
    <w:p w14:paraId="7E6D634A" w14:textId="47CCF3F9" w:rsidR="009F310A" w:rsidRPr="00757EB8" w:rsidRDefault="009F310A" w:rsidP="0063724F">
      <w:pPr>
        <w:pStyle w:val="NormalWeb"/>
        <w:spacing w:before="0" w:beforeAutospacing="0" w:after="0" w:afterAutospacing="0"/>
        <w:ind w:left="720"/>
        <w:rPr>
          <w:rFonts w:asciiTheme="minorHAnsi" w:hAnsiTheme="minorHAnsi" w:cstheme="minorHAnsi"/>
          <w:color w:val="000000"/>
          <w:lang w:val="fr-FR"/>
        </w:rPr>
      </w:pPr>
      <w:r w:rsidRPr="00757EB8">
        <w:rPr>
          <w:rFonts w:asciiTheme="minorHAnsi" w:hAnsiTheme="minorHAnsi" w:cstheme="minorHAnsi"/>
          <w:color w:val="000000"/>
          <w:lang w:val="fr-FR"/>
        </w:rPr>
        <w:t xml:space="preserve">Population Québec : 8.485M (2019) </w:t>
      </w:r>
    </w:p>
    <w:p w14:paraId="6B0A5D0C" w14:textId="77777777" w:rsidR="0063724F" w:rsidRPr="00757EB8" w:rsidRDefault="0063724F" w:rsidP="0063724F">
      <w:pPr>
        <w:pStyle w:val="NormalWeb"/>
        <w:spacing w:before="0" w:beforeAutospacing="0" w:after="0" w:afterAutospacing="0"/>
        <w:ind w:left="720"/>
        <w:rPr>
          <w:rFonts w:asciiTheme="minorHAnsi" w:hAnsiTheme="minorHAnsi" w:cstheme="minorHAnsi"/>
          <w:color w:val="000000"/>
          <w:lang w:val="fr-FR"/>
        </w:rPr>
      </w:pPr>
    </w:p>
    <w:p w14:paraId="317D81C6" w14:textId="40C5125F" w:rsidR="0063724F" w:rsidRPr="00757EB8" w:rsidRDefault="0063724F" w:rsidP="0063724F">
      <w:pPr>
        <w:pStyle w:val="NormalWeb"/>
        <w:spacing w:before="0" w:beforeAutospacing="0" w:after="0" w:afterAutospacing="0"/>
        <w:ind w:left="720"/>
        <w:rPr>
          <w:rFonts w:asciiTheme="minorHAnsi" w:hAnsiTheme="minorHAnsi" w:cstheme="minorHAnsi"/>
          <w:color w:val="000000"/>
          <w:lang w:val="fr-FR"/>
        </w:rPr>
      </w:pPr>
      <w:r w:rsidRPr="00757EB8">
        <w:rPr>
          <w:rFonts w:asciiTheme="minorHAnsi" w:hAnsiTheme="minorHAnsi" w:cstheme="minorHAnsi"/>
          <w:color w:val="000000"/>
          <w:lang w:val="fr-FR"/>
        </w:rPr>
        <w:t xml:space="preserve">Ratio pour </w:t>
      </w:r>
      <w:r w:rsidRPr="005A6222">
        <w:rPr>
          <w:rFonts w:asciiTheme="minorHAnsi" w:hAnsiTheme="minorHAnsi" w:cstheme="minorHAnsi"/>
          <w:color w:val="000000"/>
          <w:lang w:val="fr-FR"/>
        </w:rPr>
        <w:t>Ontario=0,43</w:t>
      </w:r>
      <w:r w:rsidR="005A6222" w:rsidRPr="005A6222">
        <w:rPr>
          <w:rFonts w:asciiTheme="minorHAnsi" w:hAnsiTheme="minorHAnsi" w:cstheme="minorHAnsi"/>
          <w:color w:val="000000"/>
          <w:lang w:val="fr-FR"/>
        </w:rPr>
        <w:t>65</w:t>
      </w:r>
    </w:p>
    <w:p w14:paraId="68F3B865" w14:textId="0298C5E4" w:rsidR="0063724F" w:rsidRPr="00757EB8" w:rsidRDefault="0063724F" w:rsidP="0063724F">
      <w:pPr>
        <w:pStyle w:val="NormalWeb"/>
        <w:spacing w:before="0" w:beforeAutospacing="0" w:after="0" w:afterAutospacing="0"/>
        <w:ind w:left="720"/>
        <w:rPr>
          <w:rFonts w:asciiTheme="minorHAnsi" w:hAnsiTheme="minorHAnsi" w:cstheme="minorHAnsi"/>
          <w:color w:val="000000"/>
          <w:lang w:val="fr-FR"/>
        </w:rPr>
      </w:pPr>
      <w:r w:rsidRPr="00757EB8">
        <w:rPr>
          <w:rFonts w:asciiTheme="minorHAnsi" w:hAnsiTheme="minorHAnsi" w:cstheme="minorHAnsi"/>
          <w:color w:val="000000"/>
          <w:lang w:val="fr-FR"/>
        </w:rPr>
        <w:t>Ratio pour Québec=ratio 0,456</w:t>
      </w:r>
    </w:p>
    <w:p w14:paraId="3E13EAE2" w14:textId="77777777" w:rsidR="009F310A" w:rsidRPr="00757EB8" w:rsidRDefault="009F310A" w:rsidP="009F310A">
      <w:pPr>
        <w:rPr>
          <w:rFonts w:cstheme="minorHAnsi"/>
          <w:color w:val="000000"/>
          <w:lang w:val="fr-FR"/>
        </w:rPr>
      </w:pPr>
    </w:p>
    <w:p w14:paraId="788AE471" w14:textId="42A95649" w:rsidR="00757EB8" w:rsidRDefault="0063724F" w:rsidP="0063724F">
      <w:pPr>
        <w:pStyle w:val="NormalWeb"/>
        <w:numPr>
          <w:ilvl w:val="0"/>
          <w:numId w:val="3"/>
        </w:numPr>
        <w:spacing w:before="0" w:beforeAutospacing="0" w:after="0" w:afterAutospacing="0" w:line="360" w:lineRule="auto"/>
        <w:jc w:val="both"/>
        <w:rPr>
          <w:rFonts w:asciiTheme="minorHAnsi" w:hAnsiTheme="minorHAnsi" w:cstheme="minorHAnsi"/>
          <w:color w:val="000000"/>
          <w:lang w:val="fr-FR"/>
        </w:rPr>
      </w:pPr>
      <w:r w:rsidRPr="00757EB8">
        <w:rPr>
          <w:rFonts w:asciiTheme="minorHAnsi" w:hAnsiTheme="minorHAnsi" w:cstheme="minorHAnsi"/>
          <w:color w:val="000000"/>
          <w:lang w:val="fr-FR"/>
        </w:rPr>
        <w:t>Deuxièmement, je pense qu’il n’est pas nécessaire de creuser plus en profondeur.</w:t>
      </w:r>
      <w:r w:rsidR="005A6222">
        <w:rPr>
          <w:rFonts w:asciiTheme="minorHAnsi" w:hAnsiTheme="minorHAnsi" w:cstheme="minorHAnsi"/>
          <w:color w:val="000000"/>
          <w:lang w:val="fr-FR"/>
        </w:rPr>
        <w:t xml:space="preserve"> L</w:t>
      </w:r>
      <w:r w:rsidRPr="00757EB8">
        <w:rPr>
          <w:rFonts w:asciiTheme="minorHAnsi" w:hAnsiTheme="minorHAnsi" w:cstheme="minorHAnsi"/>
          <w:color w:val="000000"/>
          <w:lang w:val="fr-FR"/>
        </w:rPr>
        <w:t>a différence de fonctionnement, de terminologie et</w:t>
      </w:r>
      <w:r w:rsidR="0039017B">
        <w:rPr>
          <w:rFonts w:asciiTheme="minorHAnsi" w:hAnsiTheme="minorHAnsi" w:cstheme="minorHAnsi"/>
          <w:color w:val="000000"/>
          <w:lang w:val="fr-FR"/>
        </w:rPr>
        <w:t xml:space="preserve"> la différence</w:t>
      </w:r>
      <w:r w:rsidRPr="00757EB8">
        <w:rPr>
          <w:rFonts w:asciiTheme="minorHAnsi" w:hAnsiTheme="minorHAnsi" w:cstheme="minorHAnsi"/>
          <w:color w:val="000000"/>
          <w:lang w:val="fr-FR"/>
        </w:rPr>
        <w:t xml:space="preserve"> démographique rendrai</w:t>
      </w:r>
      <w:r w:rsidR="009C3C90">
        <w:rPr>
          <w:rFonts w:asciiTheme="minorHAnsi" w:hAnsiTheme="minorHAnsi" w:cstheme="minorHAnsi"/>
          <w:color w:val="000000"/>
          <w:lang w:val="fr-FR"/>
        </w:rPr>
        <w:t>en</w:t>
      </w:r>
      <w:r w:rsidRPr="00757EB8">
        <w:rPr>
          <w:rFonts w:asciiTheme="minorHAnsi" w:hAnsiTheme="minorHAnsi" w:cstheme="minorHAnsi"/>
          <w:color w:val="000000"/>
          <w:lang w:val="fr-FR"/>
        </w:rPr>
        <w:t>t la comparaison avec d’autres provinces extrêmement fastidieuses</w:t>
      </w:r>
      <w:r w:rsidR="0039017B">
        <w:rPr>
          <w:rFonts w:asciiTheme="minorHAnsi" w:hAnsiTheme="minorHAnsi" w:cstheme="minorHAnsi"/>
          <w:color w:val="000000"/>
          <w:lang w:val="fr-FR"/>
        </w:rPr>
        <w:t xml:space="preserve"> pour un résultat probablement décevant</w:t>
      </w:r>
      <w:r w:rsidRPr="00757EB8">
        <w:rPr>
          <w:rFonts w:asciiTheme="minorHAnsi" w:hAnsiTheme="minorHAnsi" w:cstheme="minorHAnsi"/>
          <w:color w:val="000000"/>
          <w:lang w:val="fr-FR"/>
        </w:rPr>
        <w:t xml:space="preserve">. </w:t>
      </w:r>
      <w:r w:rsidR="005A6222">
        <w:rPr>
          <w:rFonts w:asciiTheme="minorHAnsi" w:hAnsiTheme="minorHAnsi" w:cstheme="minorHAnsi"/>
          <w:color w:val="000000"/>
          <w:lang w:val="fr-FR"/>
        </w:rPr>
        <w:t>En effet</w:t>
      </w:r>
      <w:r w:rsidRPr="00757EB8">
        <w:rPr>
          <w:rFonts w:asciiTheme="minorHAnsi" w:hAnsiTheme="minorHAnsi" w:cstheme="minorHAnsi"/>
          <w:color w:val="000000"/>
          <w:lang w:val="fr-FR"/>
        </w:rPr>
        <w:t xml:space="preserve">, comme mentionné plus haut, </w:t>
      </w:r>
      <w:r w:rsidR="00757EB8">
        <w:rPr>
          <w:rFonts w:asciiTheme="minorHAnsi" w:hAnsiTheme="minorHAnsi" w:cstheme="minorHAnsi"/>
          <w:color w:val="000000"/>
          <w:lang w:val="fr-FR"/>
        </w:rPr>
        <w:t>en comparant plusieurs données, il est possible d’établir que les statistiques ne divergent pas grandement des statistiques québécoises.</w:t>
      </w:r>
    </w:p>
    <w:p w14:paraId="2F0B663B" w14:textId="77777777" w:rsidR="00757EB8" w:rsidRDefault="00757EB8" w:rsidP="00757EB8">
      <w:pPr>
        <w:pStyle w:val="NormalWeb"/>
        <w:spacing w:before="0" w:beforeAutospacing="0" w:after="0" w:afterAutospacing="0" w:line="360" w:lineRule="auto"/>
        <w:jc w:val="both"/>
        <w:rPr>
          <w:rFonts w:asciiTheme="minorHAnsi" w:hAnsiTheme="minorHAnsi" w:cstheme="minorHAnsi"/>
          <w:color w:val="000000"/>
          <w:lang w:val="fr-FR"/>
        </w:rPr>
      </w:pPr>
    </w:p>
    <w:p w14:paraId="49145662" w14:textId="77777777" w:rsidR="0039017B" w:rsidRDefault="0039017B" w:rsidP="00757EB8">
      <w:pPr>
        <w:pStyle w:val="NormalWeb"/>
        <w:spacing w:before="0" w:beforeAutospacing="0" w:after="0" w:afterAutospacing="0" w:line="360" w:lineRule="auto"/>
        <w:jc w:val="both"/>
        <w:rPr>
          <w:rFonts w:asciiTheme="minorHAnsi" w:hAnsiTheme="minorHAnsi" w:cstheme="minorHAnsi"/>
          <w:color w:val="000000"/>
          <w:lang w:val="fr-FR"/>
        </w:rPr>
      </w:pPr>
    </w:p>
    <w:p w14:paraId="4F63AB06" w14:textId="77777777" w:rsidR="0039017B" w:rsidRDefault="0039017B" w:rsidP="00757EB8">
      <w:pPr>
        <w:pStyle w:val="NormalWeb"/>
        <w:spacing w:before="0" w:beforeAutospacing="0" w:after="0" w:afterAutospacing="0" w:line="360" w:lineRule="auto"/>
        <w:jc w:val="both"/>
        <w:rPr>
          <w:rFonts w:asciiTheme="minorHAnsi" w:hAnsiTheme="minorHAnsi" w:cstheme="minorHAnsi"/>
          <w:color w:val="000000"/>
          <w:lang w:val="fr-FR"/>
        </w:rPr>
      </w:pPr>
    </w:p>
    <w:p w14:paraId="7FC8F315" w14:textId="77777777" w:rsidR="005A6222" w:rsidRDefault="005A6222" w:rsidP="00757EB8">
      <w:pPr>
        <w:pStyle w:val="NormalWeb"/>
        <w:spacing w:before="0" w:beforeAutospacing="0" w:after="0" w:afterAutospacing="0" w:line="360" w:lineRule="auto"/>
        <w:jc w:val="both"/>
        <w:rPr>
          <w:rFonts w:asciiTheme="minorHAnsi" w:hAnsiTheme="minorHAnsi" w:cstheme="minorHAnsi"/>
          <w:color w:val="000000"/>
          <w:lang w:val="fr-FR"/>
        </w:rPr>
      </w:pPr>
    </w:p>
    <w:p w14:paraId="3E5AABFC" w14:textId="77777777" w:rsidR="005A6222" w:rsidRDefault="005A6222" w:rsidP="00757EB8">
      <w:pPr>
        <w:pStyle w:val="NormalWeb"/>
        <w:spacing w:before="0" w:beforeAutospacing="0" w:after="0" w:afterAutospacing="0" w:line="360" w:lineRule="auto"/>
        <w:jc w:val="both"/>
        <w:rPr>
          <w:rFonts w:asciiTheme="minorHAnsi" w:hAnsiTheme="minorHAnsi" w:cstheme="minorHAnsi"/>
          <w:color w:val="000000"/>
          <w:lang w:val="fr-FR"/>
        </w:rPr>
      </w:pPr>
    </w:p>
    <w:p w14:paraId="49F1C30C" w14:textId="3A6C59E7" w:rsidR="009F310A" w:rsidRPr="000427D1" w:rsidRDefault="00757EB8" w:rsidP="000427D1">
      <w:pPr>
        <w:pStyle w:val="Heading1"/>
        <w:numPr>
          <w:ilvl w:val="0"/>
          <w:numId w:val="6"/>
        </w:numPr>
        <w:jc w:val="center"/>
        <w:rPr>
          <w:u w:val="single"/>
          <w:lang w:val="fr-FR"/>
        </w:rPr>
      </w:pPr>
      <w:bookmarkStart w:id="6" w:name="_Toc143850230"/>
      <w:r w:rsidRPr="000427D1">
        <w:rPr>
          <w:u w:val="single"/>
          <w:lang w:val="fr-FR"/>
        </w:rPr>
        <w:lastRenderedPageBreak/>
        <w:t>Qu’est-ce que le projet de loi 14 ?</w:t>
      </w:r>
      <w:r w:rsidRPr="0064159B">
        <w:rPr>
          <w:rStyle w:val="FootnoteReference"/>
          <w:rFonts w:asciiTheme="minorHAnsi" w:hAnsiTheme="minorHAnsi" w:cstheme="minorHAnsi"/>
          <w:color w:val="B4C6E7" w:themeColor="accent1" w:themeTint="66"/>
          <w:sz w:val="28"/>
          <w:szCs w:val="28"/>
          <w:u w:val="single"/>
          <w:lang w:val="fr-FR"/>
        </w:rPr>
        <w:footnoteReference w:id="19"/>
      </w:r>
      <w:bookmarkEnd w:id="6"/>
    </w:p>
    <w:p w14:paraId="4B1F695B" w14:textId="77777777" w:rsidR="00757EB8" w:rsidRPr="00757EB8" w:rsidRDefault="00757EB8" w:rsidP="00640833">
      <w:pPr>
        <w:pStyle w:val="NormalWeb"/>
        <w:spacing w:before="0" w:beforeAutospacing="0" w:after="0" w:afterAutospacing="0" w:line="360" w:lineRule="auto"/>
        <w:rPr>
          <w:rFonts w:asciiTheme="minorHAnsi" w:hAnsiTheme="minorHAnsi" w:cstheme="minorHAnsi"/>
          <w:color w:val="000000"/>
          <w:sz w:val="28"/>
          <w:szCs w:val="28"/>
          <w:u w:val="single"/>
          <w:lang w:val="fr-FR"/>
        </w:rPr>
      </w:pPr>
    </w:p>
    <w:p w14:paraId="1BDD3699" w14:textId="23E4315E" w:rsidR="00DD0D56" w:rsidRDefault="00757EB8" w:rsidP="002764ED">
      <w:pPr>
        <w:pStyle w:val="NormalWeb"/>
        <w:spacing w:before="0" w:beforeAutospacing="0" w:after="0" w:afterAutospacing="0" w:line="360" w:lineRule="auto"/>
        <w:jc w:val="both"/>
        <w:rPr>
          <w:rFonts w:asciiTheme="minorHAnsi" w:hAnsiTheme="minorHAnsi" w:cstheme="minorHAnsi"/>
          <w:color w:val="000000"/>
          <w:lang w:val="fr-FR"/>
        </w:rPr>
      </w:pPr>
      <w:r>
        <w:rPr>
          <w:rFonts w:asciiTheme="minorHAnsi" w:hAnsiTheme="minorHAnsi" w:cstheme="minorHAnsi"/>
          <w:color w:val="000000"/>
          <w:lang w:val="fr-FR"/>
        </w:rPr>
        <w:t>Le projet de loi 14 est un projet de loi apportant diverses modifications concernant le secteur de la sécurité publique</w:t>
      </w:r>
      <w:r w:rsidR="00E210FA">
        <w:rPr>
          <w:rFonts w:asciiTheme="minorHAnsi" w:hAnsiTheme="minorHAnsi" w:cstheme="minorHAnsi"/>
          <w:color w:val="000000"/>
          <w:lang w:val="fr-FR"/>
        </w:rPr>
        <w:t xml:space="preserve">. </w:t>
      </w:r>
      <w:r w:rsidR="00DD0D56">
        <w:rPr>
          <w:rFonts w:asciiTheme="minorHAnsi" w:hAnsiTheme="minorHAnsi" w:cstheme="minorHAnsi"/>
          <w:color w:val="000000"/>
          <w:lang w:val="fr-FR"/>
        </w:rPr>
        <w:t>En modifiant la Loi sur la Police, l</w:t>
      </w:r>
      <w:r w:rsidR="00E210FA">
        <w:rPr>
          <w:rFonts w:asciiTheme="minorHAnsi" w:hAnsiTheme="minorHAnsi" w:cstheme="minorHAnsi"/>
          <w:color w:val="000000"/>
          <w:lang w:val="fr-FR"/>
        </w:rPr>
        <w:t xml:space="preserve">e projet de loi 14 </w:t>
      </w:r>
      <w:r w:rsidR="005A6222">
        <w:rPr>
          <w:rFonts w:asciiTheme="minorHAnsi" w:hAnsiTheme="minorHAnsi" w:cstheme="minorHAnsi"/>
          <w:color w:val="000000"/>
          <w:lang w:val="fr-FR"/>
        </w:rPr>
        <w:t>modifie</w:t>
      </w:r>
      <w:r w:rsidR="00E210FA">
        <w:rPr>
          <w:rFonts w:asciiTheme="minorHAnsi" w:hAnsiTheme="minorHAnsi" w:cstheme="minorHAnsi"/>
          <w:color w:val="000000"/>
          <w:lang w:val="fr-FR"/>
        </w:rPr>
        <w:t xml:space="preserve"> le fonctionnement du Commissaire à la déontologie policière, notamment en créant un système de signalement</w:t>
      </w:r>
      <w:r w:rsidR="00640833">
        <w:rPr>
          <w:rFonts w:asciiTheme="minorHAnsi" w:hAnsiTheme="minorHAnsi" w:cstheme="minorHAnsi"/>
          <w:color w:val="000000"/>
          <w:lang w:val="fr-FR"/>
        </w:rPr>
        <w:t>, en donnant le pouvoir au Commissaire de déclencher une enquête de sa propre initiative</w:t>
      </w:r>
      <w:r w:rsidR="005A6222">
        <w:rPr>
          <w:rFonts w:asciiTheme="minorHAnsi" w:hAnsiTheme="minorHAnsi" w:cstheme="minorHAnsi"/>
          <w:color w:val="000000"/>
          <w:lang w:val="fr-FR"/>
        </w:rPr>
        <w:t xml:space="preserve">, en permettant </w:t>
      </w:r>
      <w:r w:rsidR="00640833">
        <w:rPr>
          <w:rFonts w:asciiTheme="minorHAnsi" w:hAnsiTheme="minorHAnsi" w:cstheme="minorHAnsi"/>
          <w:color w:val="000000"/>
          <w:lang w:val="fr-FR"/>
        </w:rPr>
        <w:t xml:space="preserve">au Commissaire de tenir des exercices de conciliation via des plateformes numériques </w:t>
      </w:r>
      <w:r w:rsidR="005A6222">
        <w:rPr>
          <w:rFonts w:asciiTheme="minorHAnsi" w:hAnsiTheme="minorHAnsi" w:cstheme="minorHAnsi"/>
          <w:color w:val="000000"/>
          <w:lang w:val="fr-FR"/>
        </w:rPr>
        <w:t xml:space="preserve">ainsi qu’en </w:t>
      </w:r>
      <w:r w:rsidR="00640833">
        <w:rPr>
          <w:rFonts w:asciiTheme="minorHAnsi" w:hAnsiTheme="minorHAnsi" w:cstheme="minorHAnsi"/>
          <w:color w:val="000000"/>
          <w:lang w:val="fr-FR"/>
        </w:rPr>
        <w:t>modifi</w:t>
      </w:r>
      <w:r w:rsidR="005A6222">
        <w:rPr>
          <w:rFonts w:asciiTheme="minorHAnsi" w:hAnsiTheme="minorHAnsi" w:cstheme="minorHAnsi"/>
          <w:color w:val="000000"/>
          <w:lang w:val="fr-FR"/>
        </w:rPr>
        <w:t>ant</w:t>
      </w:r>
      <w:r w:rsidR="00640833">
        <w:rPr>
          <w:rFonts w:asciiTheme="minorHAnsi" w:hAnsiTheme="minorHAnsi" w:cstheme="minorHAnsi"/>
          <w:color w:val="000000"/>
          <w:lang w:val="fr-FR"/>
        </w:rPr>
        <w:t xml:space="preserve"> les sanctions qu</w:t>
      </w:r>
      <w:r w:rsidR="005A6222">
        <w:rPr>
          <w:rFonts w:asciiTheme="minorHAnsi" w:hAnsiTheme="minorHAnsi" w:cstheme="minorHAnsi"/>
          <w:color w:val="000000"/>
          <w:lang w:val="fr-FR"/>
        </w:rPr>
        <w:t xml:space="preserve">’un policier peut recevoir devant le comité de déontologie policière. </w:t>
      </w:r>
    </w:p>
    <w:p w14:paraId="7453C584" w14:textId="77777777" w:rsidR="00455669" w:rsidRDefault="00455669" w:rsidP="002764ED">
      <w:pPr>
        <w:pStyle w:val="NormalWeb"/>
        <w:spacing w:before="0" w:beforeAutospacing="0" w:after="0" w:afterAutospacing="0" w:line="360" w:lineRule="auto"/>
        <w:jc w:val="both"/>
        <w:rPr>
          <w:rFonts w:asciiTheme="minorHAnsi" w:hAnsiTheme="minorHAnsi" w:cstheme="minorHAnsi"/>
          <w:color w:val="000000"/>
          <w:lang w:val="fr-FR"/>
        </w:rPr>
      </w:pPr>
    </w:p>
    <w:p w14:paraId="2AC322CF" w14:textId="53293BF4" w:rsidR="00CD4DCA" w:rsidRPr="00455669" w:rsidRDefault="00DD0D56" w:rsidP="00CD4DCA">
      <w:pPr>
        <w:pStyle w:val="Heading1"/>
        <w:numPr>
          <w:ilvl w:val="0"/>
          <w:numId w:val="6"/>
        </w:numPr>
        <w:jc w:val="center"/>
        <w:rPr>
          <w:u w:val="single"/>
          <w:lang w:val="fr-FR"/>
        </w:rPr>
      </w:pPr>
      <w:bookmarkStart w:id="7" w:name="_Toc143850231"/>
      <w:r w:rsidRPr="00DD0D56">
        <w:rPr>
          <w:u w:val="single"/>
          <w:lang w:val="fr-FR"/>
        </w:rPr>
        <w:t>Qu’est-ce qui est reproché au projet de loi 14 ?</w:t>
      </w:r>
      <w:bookmarkEnd w:id="7"/>
      <w:r w:rsidR="00CD4DCA">
        <w:rPr>
          <w:u w:val="single"/>
          <w:lang w:val="fr-FR"/>
        </w:rPr>
        <w:t xml:space="preserve"> </w:t>
      </w:r>
    </w:p>
    <w:p w14:paraId="7B7CA7ED" w14:textId="77777777" w:rsidR="00CD4DCA" w:rsidRDefault="00CD4DCA" w:rsidP="00CD4DCA">
      <w:pPr>
        <w:pStyle w:val="Heading2"/>
        <w:rPr>
          <w:lang w:val="fr-FR"/>
        </w:rPr>
      </w:pPr>
    </w:p>
    <w:p w14:paraId="4A468116" w14:textId="42DB09B6" w:rsidR="00CD4DCA" w:rsidRPr="00455669" w:rsidRDefault="00CD4DCA" w:rsidP="00CD4DCA">
      <w:pPr>
        <w:pStyle w:val="Heading2"/>
        <w:numPr>
          <w:ilvl w:val="1"/>
          <w:numId w:val="30"/>
        </w:numPr>
        <w:rPr>
          <w:u w:val="single"/>
          <w:lang w:val="fr-FR"/>
        </w:rPr>
      </w:pPr>
      <w:bookmarkStart w:id="8" w:name="_Toc143850232"/>
      <w:r w:rsidRPr="00455669">
        <w:rPr>
          <w:u w:val="single"/>
          <w:lang w:val="fr-FR"/>
        </w:rPr>
        <w:t>Ce qui n’est pas modifié par le projet de loi 14</w:t>
      </w:r>
      <w:bookmarkEnd w:id="8"/>
      <w:r w:rsidRPr="00455669">
        <w:rPr>
          <w:u w:val="single"/>
          <w:lang w:val="fr-FR"/>
        </w:rPr>
        <w:t xml:space="preserve"> </w:t>
      </w:r>
    </w:p>
    <w:p w14:paraId="5928CF3A" w14:textId="77777777" w:rsidR="00455669" w:rsidRPr="00455669" w:rsidRDefault="00455669" w:rsidP="00455669">
      <w:pPr>
        <w:rPr>
          <w:lang w:val="fr-FR"/>
        </w:rPr>
      </w:pPr>
    </w:p>
    <w:p w14:paraId="6330CC24" w14:textId="64D66920" w:rsidR="00427C7B" w:rsidRDefault="00DD0D56" w:rsidP="00F660BB">
      <w:pPr>
        <w:pStyle w:val="Titre1"/>
        <w:jc w:val="both"/>
        <w:rPr>
          <w:lang w:val="fr-FR"/>
        </w:rPr>
      </w:pPr>
      <w:r>
        <w:rPr>
          <w:lang w:val="fr-FR"/>
        </w:rPr>
        <w:t xml:space="preserve">Comme mentionné plus haut, le PL14 modifie la Loi sur la police afin de </w:t>
      </w:r>
      <w:r w:rsidR="009C3C90">
        <w:rPr>
          <w:lang w:val="fr-FR"/>
        </w:rPr>
        <w:t xml:space="preserve">changer </w:t>
      </w:r>
      <w:r>
        <w:rPr>
          <w:lang w:val="fr-FR"/>
        </w:rPr>
        <w:t xml:space="preserve">le fonctionnement du Commissaire ainsi que celui du Comité de </w:t>
      </w:r>
      <w:r w:rsidR="00FF2BA3">
        <w:rPr>
          <w:lang w:val="fr-FR"/>
        </w:rPr>
        <w:t>d</w:t>
      </w:r>
      <w:r>
        <w:rPr>
          <w:lang w:val="fr-FR"/>
        </w:rPr>
        <w:t>éontologie</w:t>
      </w:r>
      <w:r w:rsidR="00427C7B">
        <w:rPr>
          <w:lang w:val="fr-FR"/>
        </w:rPr>
        <w:t>. Certaines problématiques présent</w:t>
      </w:r>
      <w:r w:rsidR="009C3C90">
        <w:rPr>
          <w:lang w:val="fr-FR"/>
        </w:rPr>
        <w:t>es</w:t>
      </w:r>
      <w:r w:rsidR="00427C7B">
        <w:rPr>
          <w:lang w:val="fr-FR"/>
        </w:rPr>
        <w:t xml:space="preserve"> dans la loi sur la police ne sont pas modifié</w:t>
      </w:r>
      <w:r w:rsidR="009C3C90">
        <w:rPr>
          <w:lang w:val="fr-FR"/>
        </w:rPr>
        <w:t>e</w:t>
      </w:r>
      <w:r w:rsidR="00427C7B">
        <w:rPr>
          <w:lang w:val="fr-FR"/>
        </w:rPr>
        <w:t xml:space="preserve">s par le PL14. De plus, le PL14 instaure de nouvelles modifications qui sont problématiques. En voici quelques exemples : </w:t>
      </w:r>
    </w:p>
    <w:p w14:paraId="6028937D" w14:textId="77777777" w:rsidR="00427C7B" w:rsidRDefault="00427C7B" w:rsidP="00F660BB">
      <w:pPr>
        <w:pStyle w:val="Titre1"/>
        <w:jc w:val="both"/>
        <w:rPr>
          <w:lang w:val="fr-FR"/>
        </w:rPr>
      </w:pPr>
    </w:p>
    <w:p w14:paraId="620A68B3" w14:textId="79C7411F" w:rsidR="00CD4DCA" w:rsidRPr="00CD4DCA" w:rsidRDefault="00427C7B" w:rsidP="00D7683B">
      <w:pPr>
        <w:pStyle w:val="Titre1"/>
        <w:numPr>
          <w:ilvl w:val="0"/>
          <w:numId w:val="3"/>
        </w:numPr>
        <w:jc w:val="both"/>
        <w:rPr>
          <w:lang w:val="fr-FR"/>
        </w:rPr>
      </w:pPr>
      <w:r>
        <w:rPr>
          <w:lang w:val="fr-FR"/>
        </w:rPr>
        <w:t>Le projet de loi 14 ne modifie pas le droit d’un policier visé par une enquête du Commissaire de ne pas collaborer avec celui-ci</w:t>
      </w:r>
      <w:r w:rsidR="005A6222">
        <w:rPr>
          <w:rStyle w:val="FootnoteReference"/>
          <w:lang w:val="fr-FR"/>
        </w:rPr>
        <w:footnoteReference w:id="20"/>
      </w:r>
      <w:r>
        <w:rPr>
          <w:lang w:val="fr-FR"/>
        </w:rPr>
        <w:t xml:space="preserve">. </w:t>
      </w:r>
      <w:r w:rsidR="00F660BB">
        <w:rPr>
          <w:lang w:val="fr-FR"/>
        </w:rPr>
        <w:t xml:space="preserve">Ce droit de « non-collaboration » est problématique. En effet, cela limite les moyens donnés </w:t>
      </w:r>
      <w:r w:rsidR="00FF2BA3">
        <w:rPr>
          <w:lang w:val="fr-FR"/>
        </w:rPr>
        <w:t xml:space="preserve">au </w:t>
      </w:r>
      <w:r w:rsidR="00F660BB">
        <w:rPr>
          <w:lang w:val="fr-FR"/>
        </w:rPr>
        <w:t>Commissaire afin de faire la lumière sur les évènements qui ont mené au potentiel manquement au code de déontologie.</w:t>
      </w:r>
      <w:r w:rsidR="005A6222">
        <w:rPr>
          <w:lang w:val="fr-FR"/>
        </w:rPr>
        <w:t xml:space="preserve"> </w:t>
      </w:r>
      <w:r w:rsidR="00F660BB">
        <w:rPr>
          <w:lang w:val="fr-FR"/>
        </w:rPr>
        <w:t xml:space="preserve">Sachant que la jurisprudence du comité et des tribunaux supérieurs </w:t>
      </w:r>
      <w:r w:rsidR="00CD4DCA">
        <w:rPr>
          <w:lang w:val="fr-FR"/>
        </w:rPr>
        <w:t>impose à la Commissaire d’apporter des preuves prépondérantes et constituti</w:t>
      </w:r>
      <w:r w:rsidR="009C3C90">
        <w:rPr>
          <w:lang w:val="fr-FR"/>
        </w:rPr>
        <w:t>ve</w:t>
      </w:r>
      <w:r w:rsidR="00CD4DCA">
        <w:rPr>
          <w:lang w:val="fr-FR"/>
        </w:rPr>
        <w:t>s d’un manquement au code de déontologie</w:t>
      </w:r>
      <w:r w:rsidR="005A6222">
        <w:rPr>
          <w:lang w:val="fr-FR"/>
        </w:rPr>
        <w:t xml:space="preserve">, il devient difficile de créer ces preuves sans pouvoir interroger un </w:t>
      </w:r>
      <w:r w:rsidR="002020EF">
        <w:rPr>
          <w:lang w:val="fr-FR"/>
        </w:rPr>
        <w:t>des deux partis concernés</w:t>
      </w:r>
      <w:r w:rsidR="00CD4DCA">
        <w:rPr>
          <w:lang w:val="fr-FR"/>
        </w:rPr>
        <w:t xml:space="preserve">. </w:t>
      </w:r>
    </w:p>
    <w:p w14:paraId="6F53FB5D" w14:textId="6FD21123" w:rsidR="00CD4DCA" w:rsidRDefault="00CD4DCA" w:rsidP="00D7683B">
      <w:pPr>
        <w:pStyle w:val="Titre1"/>
        <w:jc w:val="both"/>
        <w:rPr>
          <w:lang w:val="fr-FR"/>
        </w:rPr>
      </w:pPr>
    </w:p>
    <w:p w14:paraId="4353500B" w14:textId="4C71B842" w:rsidR="00CD4DCA" w:rsidRDefault="00CD4DCA" w:rsidP="00D7683B">
      <w:pPr>
        <w:pStyle w:val="Titre1"/>
        <w:numPr>
          <w:ilvl w:val="0"/>
          <w:numId w:val="3"/>
        </w:numPr>
        <w:jc w:val="both"/>
        <w:rPr>
          <w:lang w:val="fr-FR"/>
        </w:rPr>
      </w:pPr>
      <w:r>
        <w:rPr>
          <w:lang w:val="fr-FR"/>
        </w:rPr>
        <w:t xml:space="preserve">Le projet de loi 14 ne change pas </w:t>
      </w:r>
      <w:r w:rsidR="00455669">
        <w:rPr>
          <w:lang w:val="fr-FR"/>
        </w:rPr>
        <w:t>le délai concernant le dépôt de plainte. En effet, le délai actuel pour déposer une plainte est de 1 an : un délai extrêmement</w:t>
      </w:r>
      <w:r w:rsidR="00272065">
        <w:rPr>
          <w:lang w:val="fr-FR"/>
        </w:rPr>
        <w:t xml:space="preserve"> court</w:t>
      </w:r>
      <w:r w:rsidR="00455669">
        <w:rPr>
          <w:lang w:val="fr-FR"/>
        </w:rPr>
        <w:t>. Les personnes marginalisé</w:t>
      </w:r>
      <w:r w:rsidR="00272065">
        <w:rPr>
          <w:lang w:val="fr-FR"/>
        </w:rPr>
        <w:t>es</w:t>
      </w:r>
      <w:r w:rsidR="005A6222">
        <w:rPr>
          <w:lang w:val="fr-FR"/>
        </w:rPr>
        <w:t xml:space="preserve"> </w:t>
      </w:r>
      <w:r w:rsidR="00455669">
        <w:rPr>
          <w:lang w:val="fr-FR"/>
        </w:rPr>
        <w:t>sont souvent impliquées dans des situations problématiques avec le corps policier. Considérant le peu de ressource</w:t>
      </w:r>
      <w:r w:rsidR="009C3C90">
        <w:rPr>
          <w:lang w:val="fr-FR"/>
        </w:rPr>
        <w:t>s</w:t>
      </w:r>
      <w:r w:rsidR="00455669">
        <w:rPr>
          <w:lang w:val="fr-FR"/>
        </w:rPr>
        <w:t xml:space="preserve"> et leur situation particulièrement difficile</w:t>
      </w:r>
      <w:r w:rsidR="005A6222">
        <w:rPr>
          <w:lang w:val="fr-FR"/>
        </w:rPr>
        <w:t xml:space="preserve"> (itinérance, problématique de santé mental</w:t>
      </w:r>
      <w:r w:rsidR="00A61827">
        <w:rPr>
          <w:lang w:val="fr-FR"/>
        </w:rPr>
        <w:t>e</w:t>
      </w:r>
      <w:r w:rsidR="005A6222">
        <w:rPr>
          <w:lang w:val="fr-FR"/>
        </w:rPr>
        <w:t>, consommation)</w:t>
      </w:r>
      <w:r w:rsidR="00455669">
        <w:rPr>
          <w:lang w:val="fr-FR"/>
        </w:rPr>
        <w:t>, un délai si court les empêche souvent de pouvoir réclamer justice au</w:t>
      </w:r>
      <w:r w:rsidR="009C3C90">
        <w:rPr>
          <w:lang w:val="fr-FR"/>
        </w:rPr>
        <w:t xml:space="preserve"> </w:t>
      </w:r>
      <w:r w:rsidR="00455669">
        <w:rPr>
          <w:lang w:val="fr-FR"/>
        </w:rPr>
        <w:t xml:space="preserve">Commissaire. </w:t>
      </w:r>
    </w:p>
    <w:p w14:paraId="2DF6A4E7" w14:textId="77777777" w:rsidR="00455669" w:rsidRDefault="00455669" w:rsidP="00D7683B">
      <w:pPr>
        <w:pStyle w:val="Titre1"/>
        <w:jc w:val="both"/>
        <w:rPr>
          <w:lang w:val="fr-FR"/>
        </w:rPr>
      </w:pPr>
    </w:p>
    <w:p w14:paraId="5B5694BE" w14:textId="77777777" w:rsidR="00303324" w:rsidRPr="00455669" w:rsidRDefault="00303324" w:rsidP="00D7683B">
      <w:pPr>
        <w:pStyle w:val="Titre1"/>
        <w:jc w:val="both"/>
        <w:rPr>
          <w:lang w:val="fr-FR"/>
        </w:rPr>
      </w:pPr>
    </w:p>
    <w:p w14:paraId="01D32852" w14:textId="77777777" w:rsidR="00455669" w:rsidRDefault="00455669" w:rsidP="00D7683B">
      <w:pPr>
        <w:pStyle w:val="Titre1"/>
        <w:jc w:val="both"/>
        <w:rPr>
          <w:lang w:val="fr-FR"/>
        </w:rPr>
      </w:pPr>
    </w:p>
    <w:p w14:paraId="3655F592" w14:textId="2A636CD7" w:rsidR="00CD4DCA" w:rsidRPr="00455669" w:rsidRDefault="00CD4DCA" w:rsidP="00D7683B">
      <w:pPr>
        <w:pStyle w:val="Heading2"/>
        <w:numPr>
          <w:ilvl w:val="1"/>
          <w:numId w:val="30"/>
        </w:numPr>
        <w:jc w:val="both"/>
        <w:rPr>
          <w:u w:val="single"/>
          <w:lang w:val="fr-FR"/>
        </w:rPr>
      </w:pPr>
      <w:bookmarkStart w:id="9" w:name="_Toc143850233"/>
      <w:r w:rsidRPr="00455669">
        <w:rPr>
          <w:u w:val="single"/>
          <w:lang w:val="fr-FR"/>
        </w:rPr>
        <w:t>Ce qui est modifié par le projet de loi 14, mais qui n’est pas bon</w:t>
      </w:r>
      <w:bookmarkEnd w:id="9"/>
      <w:r w:rsidRPr="00455669">
        <w:rPr>
          <w:u w:val="single"/>
          <w:lang w:val="fr-FR"/>
        </w:rPr>
        <w:t xml:space="preserve"> </w:t>
      </w:r>
    </w:p>
    <w:p w14:paraId="3B0C3D37" w14:textId="77777777" w:rsidR="00CD4DCA" w:rsidRDefault="00CD4DCA" w:rsidP="00D7683B">
      <w:pPr>
        <w:pStyle w:val="Titre1"/>
        <w:jc w:val="both"/>
        <w:rPr>
          <w:lang w:val="fr-FR"/>
        </w:rPr>
      </w:pPr>
    </w:p>
    <w:p w14:paraId="39CAE7B4" w14:textId="2E54B987" w:rsidR="001F4DD5" w:rsidRDefault="001F4DD5" w:rsidP="00D7683B">
      <w:pPr>
        <w:pStyle w:val="Titre1"/>
        <w:numPr>
          <w:ilvl w:val="0"/>
          <w:numId w:val="3"/>
        </w:numPr>
        <w:jc w:val="both"/>
        <w:rPr>
          <w:lang w:val="fr-FR"/>
        </w:rPr>
      </w:pPr>
      <w:r>
        <w:rPr>
          <w:lang w:val="fr-FR"/>
        </w:rPr>
        <w:t>Le projet de loi 14 cré</w:t>
      </w:r>
      <w:r w:rsidR="009C3C90">
        <w:rPr>
          <w:lang w:val="fr-FR"/>
        </w:rPr>
        <w:t>e</w:t>
      </w:r>
      <w:r>
        <w:rPr>
          <w:lang w:val="fr-FR"/>
        </w:rPr>
        <w:t xml:space="preserve"> un système de signalement. En effet, afin de limiter le nombre de plainte</w:t>
      </w:r>
      <w:r w:rsidR="009C3C90">
        <w:rPr>
          <w:lang w:val="fr-FR"/>
        </w:rPr>
        <w:t>s</w:t>
      </w:r>
      <w:r>
        <w:rPr>
          <w:lang w:val="fr-FR"/>
        </w:rPr>
        <w:t xml:space="preserve"> que le Commissaire reçoit, le PL14 propose de remplacer certaines de ces plaintes par des signalements. Voici comment cela fonctionnerait si le PL14 était adopté : </w:t>
      </w:r>
    </w:p>
    <w:p w14:paraId="2314CCCA" w14:textId="77777777" w:rsidR="001F4DD5" w:rsidRDefault="001F4DD5" w:rsidP="00D7683B">
      <w:pPr>
        <w:pStyle w:val="Titre1"/>
        <w:jc w:val="both"/>
        <w:rPr>
          <w:lang w:val="fr-FR"/>
        </w:rPr>
      </w:pPr>
    </w:p>
    <w:p w14:paraId="0133804A" w14:textId="6E12F55F" w:rsidR="00371AAE" w:rsidRDefault="001F4DD5" w:rsidP="00D7683B">
      <w:pPr>
        <w:pStyle w:val="Titre1"/>
        <w:numPr>
          <w:ilvl w:val="0"/>
          <w:numId w:val="3"/>
        </w:numPr>
        <w:jc w:val="both"/>
        <w:rPr>
          <w:lang w:val="fr-FR"/>
        </w:rPr>
      </w:pPr>
      <w:r>
        <w:rPr>
          <w:lang w:val="fr-FR"/>
        </w:rPr>
        <w:t xml:space="preserve">Seulement </w:t>
      </w:r>
      <w:r w:rsidR="000F076A">
        <w:rPr>
          <w:lang w:val="fr-FR"/>
        </w:rPr>
        <w:t>les personnes directement impliquées</w:t>
      </w:r>
      <w:r>
        <w:rPr>
          <w:lang w:val="fr-FR"/>
        </w:rPr>
        <w:t xml:space="preserve"> dans un év</w:t>
      </w:r>
      <w:r w:rsidR="00FF2BA3">
        <w:rPr>
          <w:lang w:val="fr-FR"/>
        </w:rPr>
        <w:t>é</w:t>
      </w:r>
      <w:r>
        <w:rPr>
          <w:lang w:val="fr-FR"/>
        </w:rPr>
        <w:t xml:space="preserve">nement ayant fait l’objet d’une intervention policière </w:t>
      </w:r>
      <w:r w:rsidR="000F076A">
        <w:rPr>
          <w:lang w:val="fr-FR"/>
        </w:rPr>
        <w:t>pourront porter plaint</w:t>
      </w:r>
      <w:r w:rsidR="00371AAE">
        <w:rPr>
          <w:lang w:val="fr-FR"/>
        </w:rPr>
        <w:t>e</w:t>
      </w:r>
      <w:r w:rsidR="000F076A">
        <w:rPr>
          <w:lang w:val="fr-FR"/>
        </w:rPr>
        <w:t xml:space="preserve">. Conséquemment, </w:t>
      </w:r>
      <w:r w:rsidR="001C71C9">
        <w:rPr>
          <w:lang w:val="fr-FR"/>
        </w:rPr>
        <w:t>les seules personnes</w:t>
      </w:r>
      <w:r w:rsidR="000F076A">
        <w:rPr>
          <w:lang w:val="fr-FR"/>
        </w:rPr>
        <w:t xml:space="preserve"> qui peuvent porter plainte sont les victimes d’un policier qui</w:t>
      </w:r>
      <w:r w:rsidR="009C3C90">
        <w:rPr>
          <w:lang w:val="fr-FR"/>
        </w:rPr>
        <w:t xml:space="preserve"> n’</w:t>
      </w:r>
      <w:r w:rsidR="000F076A">
        <w:rPr>
          <w:lang w:val="fr-FR"/>
        </w:rPr>
        <w:t xml:space="preserve">aurait potentiellement </w:t>
      </w:r>
      <w:r w:rsidR="009C3C90">
        <w:rPr>
          <w:lang w:val="fr-FR"/>
        </w:rPr>
        <w:t>pas respecté</w:t>
      </w:r>
      <w:r w:rsidR="000F076A">
        <w:rPr>
          <w:lang w:val="fr-FR"/>
        </w:rPr>
        <w:t xml:space="preserve"> son code de déontologie ainsi que les témoins directs de l’év</w:t>
      </w:r>
      <w:r w:rsidR="00FF2BA3">
        <w:rPr>
          <w:lang w:val="fr-FR"/>
        </w:rPr>
        <w:t>é</w:t>
      </w:r>
      <w:r w:rsidR="000F076A">
        <w:rPr>
          <w:lang w:val="fr-FR"/>
        </w:rPr>
        <w:t>nement.</w:t>
      </w:r>
      <w:r w:rsidR="001C71C9">
        <w:rPr>
          <w:lang w:val="fr-FR"/>
        </w:rPr>
        <w:t xml:space="preserve"> Si un citoyen ne correspond pas à ses deux catégories, au lieu de déposer une plainte, celui-ci devra faire un signalement</w:t>
      </w:r>
      <w:r w:rsidR="00371AAE">
        <w:rPr>
          <w:lang w:val="fr-FR"/>
        </w:rPr>
        <w:t>.</w:t>
      </w:r>
      <w:r w:rsidR="00371AAE">
        <w:rPr>
          <w:rStyle w:val="FootnoteReference"/>
          <w:lang w:val="fr-FR"/>
        </w:rPr>
        <w:footnoteReference w:id="21"/>
      </w:r>
      <w:r w:rsidR="001C71C9">
        <w:rPr>
          <w:lang w:val="fr-FR"/>
        </w:rPr>
        <w:t xml:space="preserve"> </w:t>
      </w:r>
    </w:p>
    <w:p w14:paraId="727973C8" w14:textId="77777777" w:rsidR="00371AAE" w:rsidRDefault="00371AAE" w:rsidP="00D7683B">
      <w:pPr>
        <w:pStyle w:val="Titre1"/>
        <w:jc w:val="both"/>
        <w:rPr>
          <w:lang w:val="fr-FR"/>
        </w:rPr>
      </w:pPr>
    </w:p>
    <w:p w14:paraId="63313893" w14:textId="2BE947B9" w:rsidR="001C71C9" w:rsidRDefault="001C71C9" w:rsidP="00D7683B">
      <w:pPr>
        <w:pStyle w:val="Titre1"/>
        <w:numPr>
          <w:ilvl w:val="0"/>
          <w:numId w:val="3"/>
        </w:numPr>
        <w:jc w:val="both"/>
        <w:rPr>
          <w:lang w:val="fr-FR"/>
        </w:rPr>
      </w:pPr>
      <w:r>
        <w:rPr>
          <w:lang w:val="fr-FR"/>
        </w:rPr>
        <w:t>Le législatif laisse énormément de pouvoir discrétionnaire au Commissaire quant à l’instauration du traitement des signalements. En effet, voici les lignes directrices laissé</w:t>
      </w:r>
      <w:r w:rsidR="009C3C90">
        <w:rPr>
          <w:lang w:val="fr-FR"/>
        </w:rPr>
        <w:t>e</w:t>
      </w:r>
      <w:r>
        <w:rPr>
          <w:lang w:val="fr-FR"/>
        </w:rPr>
        <w:t xml:space="preserve">s au Commissaire par le législatif : </w:t>
      </w:r>
    </w:p>
    <w:p w14:paraId="1FB25E65" w14:textId="77777777" w:rsidR="001C71C9" w:rsidRPr="002B76BB" w:rsidRDefault="001C71C9" w:rsidP="00D7683B">
      <w:pPr>
        <w:spacing w:line="360" w:lineRule="auto"/>
        <w:jc w:val="both"/>
        <w:rPr>
          <w:rFonts w:cstheme="minorHAnsi"/>
          <w:lang w:val="fr-CA"/>
        </w:rPr>
      </w:pPr>
    </w:p>
    <w:p w14:paraId="18DC0443" w14:textId="77777777" w:rsidR="001C71C9" w:rsidRPr="002B76BB" w:rsidRDefault="001C71C9" w:rsidP="00D7683B">
      <w:pPr>
        <w:spacing w:line="360" w:lineRule="auto"/>
        <w:ind w:left="720"/>
        <w:jc w:val="both"/>
        <w:rPr>
          <w:rFonts w:cstheme="minorHAnsi"/>
          <w:lang w:val="fr-CA"/>
        </w:rPr>
      </w:pPr>
      <w:r w:rsidRPr="002B76BB">
        <w:rPr>
          <w:rFonts w:cstheme="minorHAnsi"/>
          <w:lang w:val="fr-CA"/>
        </w:rPr>
        <w:t xml:space="preserve">« Cette procédure doit notamment : </w:t>
      </w:r>
    </w:p>
    <w:p w14:paraId="4B9C4153" w14:textId="77777777" w:rsidR="001C71C9" w:rsidRPr="002B76BB" w:rsidRDefault="001C71C9" w:rsidP="00D7683B">
      <w:pPr>
        <w:spacing w:line="360" w:lineRule="auto"/>
        <w:ind w:left="720"/>
        <w:jc w:val="both"/>
        <w:rPr>
          <w:rFonts w:eastAsia="Times New Roman" w:cstheme="minorHAnsi"/>
          <w:color w:val="000000"/>
          <w:kern w:val="0"/>
          <w:lang w:val="fr-FR" w:eastAsia="en-GB"/>
          <w14:ligatures w14:val="none"/>
        </w:rPr>
      </w:pPr>
      <w:r w:rsidRPr="002B76BB">
        <w:rPr>
          <w:rFonts w:eastAsia="Times New Roman" w:cstheme="minorHAnsi"/>
          <w:color w:val="000000"/>
          <w:kern w:val="0"/>
          <w:lang w:val="fr-FR" w:eastAsia="en-GB"/>
          <w14:ligatures w14:val="none"/>
        </w:rPr>
        <w:br/>
        <w:t>1° préciser les modalités applicables pour formuler un signalement </w:t>
      </w:r>
    </w:p>
    <w:p w14:paraId="4482F5D4" w14:textId="77777777" w:rsidR="001C71C9" w:rsidRPr="002B76BB" w:rsidRDefault="001C71C9" w:rsidP="00D7683B">
      <w:pPr>
        <w:spacing w:line="360" w:lineRule="auto"/>
        <w:ind w:left="720"/>
        <w:jc w:val="both"/>
        <w:rPr>
          <w:rFonts w:eastAsia="Times New Roman" w:cstheme="minorHAnsi"/>
          <w:color w:val="000000"/>
          <w:kern w:val="0"/>
          <w:lang w:val="fr-FR" w:eastAsia="en-GB"/>
          <w14:ligatures w14:val="none"/>
        </w:rPr>
      </w:pPr>
    </w:p>
    <w:p w14:paraId="6F1D9656" w14:textId="77777777" w:rsidR="001C71C9" w:rsidRPr="002B76BB" w:rsidRDefault="001C71C9" w:rsidP="00D7683B">
      <w:pPr>
        <w:spacing w:line="360" w:lineRule="auto"/>
        <w:ind w:left="720"/>
        <w:jc w:val="both"/>
        <w:rPr>
          <w:rFonts w:eastAsia="Times New Roman" w:cstheme="minorHAnsi"/>
          <w:color w:val="000000"/>
          <w:kern w:val="0"/>
          <w:lang w:val="fr-FR" w:eastAsia="en-GB"/>
          <w14:ligatures w14:val="none"/>
        </w:rPr>
      </w:pPr>
      <w:r w:rsidRPr="002B76BB">
        <w:rPr>
          <w:rFonts w:eastAsia="Times New Roman" w:cstheme="minorHAnsi"/>
          <w:color w:val="000000"/>
          <w:kern w:val="0"/>
          <w:lang w:val="fr-FR" w:eastAsia="en-GB"/>
          <w14:ligatures w14:val="none"/>
        </w:rPr>
        <w:t>2° préciser les mesures de soutien disponibles pour aider une personne à formuler un signalement </w:t>
      </w:r>
    </w:p>
    <w:p w14:paraId="5D1D56A7" w14:textId="77777777" w:rsidR="001C71C9" w:rsidRPr="002B76BB" w:rsidRDefault="001C71C9" w:rsidP="00D7683B">
      <w:pPr>
        <w:spacing w:line="360" w:lineRule="auto"/>
        <w:ind w:left="720"/>
        <w:jc w:val="both"/>
        <w:rPr>
          <w:rFonts w:eastAsia="Times New Roman" w:cstheme="minorHAnsi"/>
          <w:color w:val="000000"/>
          <w:kern w:val="0"/>
          <w:lang w:val="fr-FR" w:eastAsia="en-GB"/>
          <w14:ligatures w14:val="none"/>
        </w:rPr>
      </w:pPr>
    </w:p>
    <w:p w14:paraId="499236C9" w14:textId="77777777" w:rsidR="001C71C9" w:rsidRPr="002B76BB" w:rsidRDefault="001C71C9" w:rsidP="00D7683B">
      <w:pPr>
        <w:spacing w:line="360" w:lineRule="auto"/>
        <w:ind w:left="720"/>
        <w:jc w:val="both"/>
        <w:rPr>
          <w:rFonts w:eastAsia="Times New Roman" w:cstheme="minorHAnsi"/>
          <w:color w:val="000000"/>
          <w:kern w:val="0"/>
          <w:lang w:val="fr-FR" w:eastAsia="en-GB"/>
          <w14:ligatures w14:val="none"/>
        </w:rPr>
      </w:pPr>
      <w:r w:rsidRPr="002B76BB">
        <w:rPr>
          <w:rFonts w:eastAsia="Times New Roman" w:cstheme="minorHAnsi"/>
          <w:color w:val="000000"/>
          <w:kern w:val="0"/>
          <w:lang w:val="fr-FR" w:eastAsia="en-GB"/>
          <w14:ligatures w14:val="none"/>
        </w:rPr>
        <w:t>3° prévoir le processus de traitement d’un signalement par le Commissaire et les mesures visant à assurer, le cas échéant, l’anonymat de la personne qui a formulé le signalement</w:t>
      </w:r>
    </w:p>
    <w:p w14:paraId="094C8900" w14:textId="77777777" w:rsidR="001C71C9" w:rsidRPr="002B76BB" w:rsidRDefault="001C71C9" w:rsidP="00D7683B">
      <w:pPr>
        <w:spacing w:line="360" w:lineRule="auto"/>
        <w:ind w:left="720"/>
        <w:jc w:val="both"/>
        <w:rPr>
          <w:rFonts w:eastAsia="Times New Roman" w:cstheme="minorHAnsi"/>
          <w:color w:val="000000"/>
          <w:kern w:val="0"/>
          <w:lang w:val="fr-FR" w:eastAsia="en-GB"/>
          <w14:ligatures w14:val="none"/>
        </w:rPr>
      </w:pPr>
    </w:p>
    <w:p w14:paraId="5798E5D6" w14:textId="62C4ACEF" w:rsidR="001C71C9" w:rsidRDefault="001C71C9" w:rsidP="00D7683B">
      <w:pPr>
        <w:spacing w:line="360" w:lineRule="auto"/>
        <w:ind w:left="720"/>
        <w:jc w:val="both"/>
        <w:rPr>
          <w:rFonts w:eastAsia="Times New Roman" w:cstheme="minorHAnsi"/>
          <w:color w:val="000000"/>
          <w:kern w:val="0"/>
          <w:lang w:val="fr-FR" w:eastAsia="en-GB"/>
          <w14:ligatures w14:val="none"/>
        </w:rPr>
      </w:pPr>
      <w:r w:rsidRPr="002B76BB">
        <w:rPr>
          <w:rFonts w:eastAsia="Times New Roman" w:cstheme="minorHAnsi"/>
          <w:color w:val="000000"/>
          <w:kern w:val="0"/>
          <w:lang w:val="fr-FR" w:eastAsia="en-GB"/>
          <w14:ligatures w14:val="none"/>
        </w:rPr>
        <w:t>4° déterminer le suivi qui doit être donné à un signalement ainsi que le délai dans lequel il doit être réalisé</w:t>
      </w:r>
    </w:p>
    <w:p w14:paraId="4A1506CE" w14:textId="77777777" w:rsidR="00D864B3" w:rsidRPr="002B76BB" w:rsidRDefault="00D864B3" w:rsidP="00D7683B">
      <w:pPr>
        <w:spacing w:line="360" w:lineRule="auto"/>
        <w:ind w:left="720"/>
        <w:jc w:val="both"/>
        <w:rPr>
          <w:rFonts w:eastAsia="Times New Roman" w:cstheme="minorHAnsi"/>
          <w:color w:val="000000"/>
          <w:kern w:val="0"/>
          <w:lang w:val="fr-FR" w:eastAsia="en-GB"/>
          <w14:ligatures w14:val="none"/>
        </w:rPr>
      </w:pPr>
    </w:p>
    <w:p w14:paraId="065E0B8E" w14:textId="01ECE752" w:rsidR="00D649B3" w:rsidRPr="002B76BB" w:rsidRDefault="001C71C9" w:rsidP="00D7683B">
      <w:pPr>
        <w:spacing w:line="360" w:lineRule="auto"/>
        <w:ind w:left="720"/>
        <w:jc w:val="both"/>
        <w:rPr>
          <w:rFonts w:eastAsia="Times New Roman" w:cstheme="minorHAnsi"/>
          <w:color w:val="000000"/>
          <w:kern w:val="0"/>
          <w:lang w:val="fr-FR" w:eastAsia="en-GB"/>
          <w14:ligatures w14:val="none"/>
        </w:rPr>
      </w:pPr>
      <w:r w:rsidRPr="002B76BB">
        <w:rPr>
          <w:rFonts w:eastAsia="Times New Roman" w:cstheme="minorHAnsi"/>
          <w:color w:val="000000"/>
          <w:kern w:val="0"/>
          <w:lang w:val="fr-FR" w:eastAsia="en-GB"/>
          <w14:ligatures w14:val="none"/>
        </w:rPr>
        <w:t>5° préciser le délai de traitement d’un signalement</w:t>
      </w:r>
      <w:r w:rsidR="00D649B3">
        <w:rPr>
          <w:rFonts w:eastAsia="Times New Roman" w:cstheme="minorHAnsi"/>
          <w:color w:val="000000"/>
          <w:kern w:val="0"/>
          <w:lang w:val="fr-FR" w:eastAsia="en-GB"/>
          <w14:ligatures w14:val="none"/>
        </w:rPr>
        <w:t>. »</w:t>
      </w:r>
      <w:r w:rsidR="00D649B3">
        <w:rPr>
          <w:rStyle w:val="FootnoteReference"/>
          <w:rFonts w:eastAsia="Times New Roman" w:cstheme="minorHAnsi"/>
          <w:color w:val="000000"/>
          <w:kern w:val="0"/>
          <w:lang w:val="fr-FR" w:eastAsia="en-GB"/>
          <w14:ligatures w14:val="none"/>
        </w:rPr>
        <w:footnoteReference w:id="22"/>
      </w:r>
    </w:p>
    <w:p w14:paraId="3E4A41C3" w14:textId="77777777" w:rsidR="00D649B3" w:rsidRDefault="00D649B3" w:rsidP="00D7683B">
      <w:pPr>
        <w:pStyle w:val="Titre1"/>
        <w:ind w:left="720"/>
        <w:jc w:val="both"/>
        <w:rPr>
          <w:lang w:val="fr-FR"/>
        </w:rPr>
      </w:pPr>
    </w:p>
    <w:p w14:paraId="3C89FD0B" w14:textId="1364F2B2" w:rsidR="00D864B3" w:rsidRDefault="002020EF" w:rsidP="00D7683B">
      <w:pPr>
        <w:pStyle w:val="Titre1"/>
        <w:ind w:left="720"/>
        <w:jc w:val="both"/>
        <w:rPr>
          <w:lang w:val="fr-FR"/>
        </w:rPr>
      </w:pPr>
      <w:r>
        <w:rPr>
          <w:lang w:val="fr-FR"/>
        </w:rPr>
        <w:lastRenderedPageBreak/>
        <w:t>P</w:t>
      </w:r>
      <w:r w:rsidR="00D864B3">
        <w:rPr>
          <w:lang w:val="fr-FR"/>
        </w:rPr>
        <w:t>arce que le législatif décide de déléguer toute la procédure de traitement des plaintes au Commissaire, il est difficile de questionner celui-ci sur des potentielles problématiques sur la procédure. En effet, le législatif retire toute possibilité de débattre sur la procédure de signalement et ainsi empêche partiellement le PL14</w:t>
      </w:r>
      <w:r w:rsidR="009C3C90">
        <w:rPr>
          <w:lang w:val="fr-FR"/>
        </w:rPr>
        <w:t xml:space="preserve"> d</w:t>
      </w:r>
      <w:r w:rsidR="00A61827">
        <w:rPr>
          <w:lang w:val="fr-FR"/>
        </w:rPr>
        <w:t>e</w:t>
      </w:r>
      <w:r w:rsidR="009C3C90">
        <w:rPr>
          <w:lang w:val="fr-FR"/>
        </w:rPr>
        <w:t xml:space="preserve"> suivre</w:t>
      </w:r>
      <w:r w:rsidR="00D864B3">
        <w:rPr>
          <w:lang w:val="fr-FR"/>
        </w:rPr>
        <w:t xml:space="preserve"> le bon cheminement démocratique. </w:t>
      </w:r>
    </w:p>
    <w:p w14:paraId="33FC24D3" w14:textId="24C0389C" w:rsidR="00D864B3" w:rsidRDefault="00D864B3" w:rsidP="002020EF">
      <w:pPr>
        <w:pStyle w:val="Titre1"/>
        <w:ind w:left="720"/>
        <w:jc w:val="both"/>
        <w:rPr>
          <w:lang w:val="fr-FR"/>
        </w:rPr>
      </w:pPr>
    </w:p>
    <w:p w14:paraId="60AB857B" w14:textId="32BF6FC8" w:rsidR="002020EF" w:rsidRPr="002020EF" w:rsidRDefault="002020EF" w:rsidP="002020EF">
      <w:pPr>
        <w:pStyle w:val="Titre1"/>
        <w:numPr>
          <w:ilvl w:val="0"/>
          <w:numId w:val="3"/>
        </w:numPr>
        <w:jc w:val="both"/>
        <w:rPr>
          <w:lang w:val="fr-FR"/>
        </w:rPr>
      </w:pPr>
      <w:r>
        <w:rPr>
          <w:lang w:val="fr-FR"/>
        </w:rPr>
        <w:t>Il est aussi important de mentionner que le délai pour faire un signalement est aussi de 1 an.</w:t>
      </w:r>
      <w:r>
        <w:rPr>
          <w:rStyle w:val="FootnoteReference"/>
          <w:lang w:val="fr-FR"/>
        </w:rPr>
        <w:footnoteReference w:id="23"/>
      </w:r>
    </w:p>
    <w:p w14:paraId="698255D2" w14:textId="77777777" w:rsidR="002020EF" w:rsidRDefault="002020EF" w:rsidP="002020EF">
      <w:pPr>
        <w:pStyle w:val="Titre1"/>
        <w:jc w:val="both"/>
        <w:rPr>
          <w:lang w:val="fr-FR"/>
        </w:rPr>
      </w:pPr>
    </w:p>
    <w:p w14:paraId="0B0AAC39" w14:textId="318738B3" w:rsidR="00A94AB7" w:rsidRDefault="00805837" w:rsidP="00D7683B">
      <w:pPr>
        <w:pStyle w:val="Titre1"/>
        <w:numPr>
          <w:ilvl w:val="0"/>
          <w:numId w:val="3"/>
        </w:numPr>
        <w:jc w:val="both"/>
        <w:rPr>
          <w:lang w:val="fr-FR"/>
        </w:rPr>
      </w:pPr>
      <w:r>
        <w:rPr>
          <w:lang w:val="fr-FR"/>
        </w:rPr>
        <w:t>L’article 39 du PL14 mentionne que si le Commissaire refuse de tenir une enquête à la suite d’un signalement, ou qu’il met fin à l’enquête, aucune note</w:t>
      </w:r>
      <w:r w:rsidR="00FF2BA3">
        <w:rPr>
          <w:lang w:val="fr-FR"/>
        </w:rPr>
        <w:t xml:space="preserve"> sera prise</w:t>
      </w:r>
      <w:r>
        <w:rPr>
          <w:lang w:val="fr-FR"/>
        </w:rPr>
        <w:t xml:space="preserve"> au dossier du </w:t>
      </w:r>
      <w:r w:rsidR="00FF2BA3">
        <w:rPr>
          <w:lang w:val="fr-FR"/>
        </w:rPr>
        <w:t>policier le</w:t>
      </w:r>
      <w:r>
        <w:rPr>
          <w:lang w:val="fr-FR"/>
        </w:rPr>
        <w:t xml:space="preserve"> signalement en question. </w:t>
      </w:r>
      <w:r w:rsidR="00A94AB7">
        <w:rPr>
          <w:rStyle w:val="FootnoteReference"/>
          <w:lang w:val="fr-FR"/>
        </w:rPr>
        <w:footnoteReference w:id="24"/>
      </w:r>
    </w:p>
    <w:p w14:paraId="5C90CB53" w14:textId="77777777" w:rsidR="00A94AB7" w:rsidRDefault="00A94AB7" w:rsidP="00D7683B">
      <w:pPr>
        <w:pStyle w:val="Titre1"/>
        <w:ind w:left="720"/>
        <w:jc w:val="both"/>
        <w:rPr>
          <w:lang w:val="fr-FR"/>
        </w:rPr>
      </w:pPr>
    </w:p>
    <w:p w14:paraId="2F0CAE10" w14:textId="788CA8C7" w:rsidR="00A94AB7" w:rsidRDefault="00805837" w:rsidP="00D7683B">
      <w:pPr>
        <w:pStyle w:val="Titre1"/>
        <w:ind w:left="720"/>
        <w:jc w:val="both"/>
        <w:rPr>
          <w:lang w:val="fr-FR"/>
        </w:rPr>
      </w:pPr>
      <w:r w:rsidRPr="00A94AB7">
        <w:rPr>
          <w:lang w:val="fr-FR"/>
        </w:rPr>
        <w:t>Actuellement, avec les plaintes, ce n’est pas le cas. En effet, lors de la rencontre que Josiane a eu</w:t>
      </w:r>
      <w:r w:rsidR="009C3C90">
        <w:rPr>
          <w:lang w:val="fr-FR"/>
        </w:rPr>
        <w:t>e</w:t>
      </w:r>
      <w:r w:rsidRPr="00A94AB7">
        <w:rPr>
          <w:lang w:val="fr-FR"/>
        </w:rPr>
        <w:t xml:space="preserve"> avec la commissaire Hillinger, elle mentionne que « Le dossier déontologique d’un policier va conserve</w:t>
      </w:r>
      <w:r w:rsidR="00A94AB7">
        <w:rPr>
          <w:lang w:val="fr-FR"/>
        </w:rPr>
        <w:t xml:space="preserve">r </w:t>
      </w:r>
      <w:r w:rsidRPr="00805837">
        <w:rPr>
          <w:lang w:val="fr-FR"/>
        </w:rPr>
        <w:t>toutes les plaintes</w:t>
      </w:r>
      <w:r w:rsidR="00596795">
        <w:rPr>
          <w:lang w:val="fr-FR"/>
        </w:rPr>
        <w:t>,</w:t>
      </w:r>
      <w:r w:rsidRPr="00805837">
        <w:rPr>
          <w:lang w:val="fr-FR"/>
        </w:rPr>
        <w:t xml:space="preserve"> peu importe l’issue même </w:t>
      </w:r>
      <w:r w:rsidR="00596795">
        <w:rPr>
          <w:lang w:val="fr-FR"/>
        </w:rPr>
        <w:t xml:space="preserve">si </w:t>
      </w:r>
      <w:r w:rsidRPr="00805837">
        <w:rPr>
          <w:lang w:val="fr-FR"/>
        </w:rPr>
        <w:t>une plainte qui a été refusée au</w:t>
      </w:r>
      <w:r w:rsidR="00A94AB7">
        <w:rPr>
          <w:lang w:val="fr-FR"/>
        </w:rPr>
        <w:t xml:space="preserve"> </w:t>
      </w:r>
      <w:r w:rsidRPr="00805837">
        <w:rPr>
          <w:lang w:val="fr-FR"/>
        </w:rPr>
        <w:t>départ est conservée au dossier</w:t>
      </w:r>
      <w:r>
        <w:rPr>
          <w:lang w:val="fr-FR"/>
        </w:rPr>
        <w:t>. »</w:t>
      </w:r>
      <w:r w:rsidR="00A94AB7">
        <w:rPr>
          <w:rStyle w:val="FootnoteReference"/>
          <w:lang w:val="fr-FR"/>
        </w:rPr>
        <w:footnoteReference w:id="25"/>
      </w:r>
    </w:p>
    <w:p w14:paraId="4E6F47A3" w14:textId="77777777" w:rsidR="00A94AB7" w:rsidRDefault="00A94AB7" w:rsidP="00D7683B">
      <w:pPr>
        <w:pStyle w:val="Titre1"/>
        <w:ind w:left="720"/>
        <w:jc w:val="both"/>
        <w:rPr>
          <w:lang w:val="fr-FR"/>
        </w:rPr>
      </w:pPr>
    </w:p>
    <w:p w14:paraId="7668C252" w14:textId="2C0E973D" w:rsidR="006B50F9" w:rsidRDefault="00A94AB7" w:rsidP="00D7683B">
      <w:pPr>
        <w:pStyle w:val="Titre1"/>
        <w:ind w:left="720"/>
        <w:jc w:val="both"/>
        <w:rPr>
          <w:lang w:val="fr-FR"/>
        </w:rPr>
      </w:pPr>
      <w:r>
        <w:rPr>
          <w:lang w:val="fr-FR"/>
        </w:rPr>
        <w:t>Il s’agit</w:t>
      </w:r>
      <w:r w:rsidR="00805837">
        <w:rPr>
          <w:lang w:val="fr-FR"/>
        </w:rPr>
        <w:t xml:space="preserve"> alors de savoir si pour les signalements</w:t>
      </w:r>
      <w:r w:rsidR="00596795">
        <w:rPr>
          <w:lang w:val="fr-FR"/>
        </w:rPr>
        <w:t xml:space="preserve"> le PL14 instaure</w:t>
      </w:r>
      <w:r w:rsidR="00805837">
        <w:rPr>
          <w:lang w:val="fr-FR"/>
        </w:rPr>
        <w:t xml:space="preserve"> qu’aucune note ne pourra être noté</w:t>
      </w:r>
      <w:r w:rsidR="00596795">
        <w:rPr>
          <w:lang w:val="fr-FR"/>
        </w:rPr>
        <w:t>e</w:t>
      </w:r>
      <w:r w:rsidR="00805837">
        <w:rPr>
          <w:lang w:val="fr-FR"/>
        </w:rPr>
        <w:t xml:space="preserve"> tant au dossier disciplinaire qu’au dossier déontologique d’un policier. </w:t>
      </w:r>
      <w:r>
        <w:rPr>
          <w:lang w:val="fr-FR"/>
        </w:rPr>
        <w:t>Ou</w:t>
      </w:r>
      <w:r w:rsidR="00FF2BA3">
        <w:rPr>
          <w:lang w:val="fr-FR"/>
        </w:rPr>
        <w:t xml:space="preserve"> si </w:t>
      </w:r>
      <w:r>
        <w:rPr>
          <w:lang w:val="fr-FR"/>
        </w:rPr>
        <w:t>comme actuellement avec les plaintes</w:t>
      </w:r>
      <w:r w:rsidR="00FF2BA3">
        <w:rPr>
          <w:lang w:val="fr-FR"/>
        </w:rPr>
        <w:t>,</w:t>
      </w:r>
      <w:r>
        <w:rPr>
          <w:lang w:val="fr-FR"/>
        </w:rPr>
        <w:t xml:space="preserve"> les signalements sans issue seront notés dans le dossier déontologique du policier et non dans le dossier disciplinaire à moins que le signalement finisse par une reconnaissance de culpabilité devant </w:t>
      </w:r>
      <w:r w:rsidR="002020EF">
        <w:rPr>
          <w:lang w:val="fr-FR"/>
        </w:rPr>
        <w:t>le Comité</w:t>
      </w:r>
      <w:r>
        <w:rPr>
          <w:lang w:val="fr-FR"/>
        </w:rPr>
        <w:t xml:space="preserve"> ou par un règlement par le comité. </w:t>
      </w:r>
    </w:p>
    <w:p w14:paraId="645C3535" w14:textId="77777777" w:rsidR="00D864B3" w:rsidRDefault="00D864B3" w:rsidP="00D7683B">
      <w:pPr>
        <w:pStyle w:val="Titre1"/>
        <w:jc w:val="both"/>
        <w:rPr>
          <w:lang w:val="fr-FR"/>
        </w:rPr>
      </w:pPr>
    </w:p>
    <w:p w14:paraId="6C5DA3D5" w14:textId="515D1E70" w:rsidR="00A94AB7" w:rsidRDefault="00A94AB7" w:rsidP="00D7683B">
      <w:pPr>
        <w:pStyle w:val="Titre1"/>
        <w:numPr>
          <w:ilvl w:val="0"/>
          <w:numId w:val="3"/>
        </w:numPr>
        <w:jc w:val="both"/>
        <w:rPr>
          <w:lang w:val="fr-FR"/>
        </w:rPr>
      </w:pPr>
      <w:r>
        <w:rPr>
          <w:lang w:val="fr-FR"/>
        </w:rPr>
        <w:t>Finalement</w:t>
      </w:r>
      <w:r w:rsidR="00D7683B">
        <w:rPr>
          <w:lang w:val="fr-FR"/>
        </w:rPr>
        <w:t xml:space="preserve">, l’article 40 du PL14 mentionne que le Commissaire devra aviser le signalant de la décision rendue par rapport à son signalement, mais ne sera </w:t>
      </w:r>
      <w:r w:rsidR="00B93506">
        <w:rPr>
          <w:lang w:val="fr-FR"/>
        </w:rPr>
        <w:t>pourra</w:t>
      </w:r>
      <w:r w:rsidR="00D7683B">
        <w:rPr>
          <w:lang w:val="fr-FR"/>
        </w:rPr>
        <w:t xml:space="preserve"> expliquer les motifs de cette décision que s’il le juge approprié.</w:t>
      </w:r>
      <w:r w:rsidR="00D7683B">
        <w:rPr>
          <w:rStyle w:val="FootnoteReference"/>
          <w:lang w:val="fr-FR"/>
        </w:rPr>
        <w:footnoteReference w:id="26"/>
      </w:r>
      <w:r w:rsidR="00D7683B">
        <w:rPr>
          <w:lang w:val="fr-FR"/>
        </w:rPr>
        <w:t xml:space="preserve"> </w:t>
      </w:r>
    </w:p>
    <w:p w14:paraId="51FE458D" w14:textId="77777777" w:rsidR="00D7683B" w:rsidRDefault="00D7683B" w:rsidP="00D7683B">
      <w:pPr>
        <w:pStyle w:val="Titre1"/>
        <w:jc w:val="both"/>
        <w:rPr>
          <w:lang w:val="fr-FR"/>
        </w:rPr>
      </w:pPr>
    </w:p>
    <w:p w14:paraId="18E4F4F7" w14:textId="77777777" w:rsidR="00D7683B" w:rsidRDefault="00D7683B" w:rsidP="00D7683B">
      <w:pPr>
        <w:pStyle w:val="Titre1"/>
        <w:jc w:val="both"/>
        <w:rPr>
          <w:lang w:val="fr-FR"/>
        </w:rPr>
      </w:pPr>
    </w:p>
    <w:p w14:paraId="25A3E0A7" w14:textId="445691FF" w:rsidR="002764ED" w:rsidRDefault="00DD0D56" w:rsidP="00D7683B">
      <w:pPr>
        <w:pStyle w:val="Heading1"/>
        <w:numPr>
          <w:ilvl w:val="0"/>
          <w:numId w:val="6"/>
        </w:numPr>
        <w:jc w:val="center"/>
        <w:rPr>
          <w:u w:val="single"/>
          <w:lang w:val="fr-FR"/>
        </w:rPr>
      </w:pPr>
      <w:bookmarkStart w:id="10" w:name="_Toc143850234"/>
      <w:r w:rsidRPr="00DD0D56">
        <w:rPr>
          <w:u w:val="single"/>
          <w:lang w:val="fr-FR"/>
        </w:rPr>
        <w:t>Ce qui est positif dans le projet de loi 14</w:t>
      </w:r>
      <w:bookmarkEnd w:id="10"/>
    </w:p>
    <w:p w14:paraId="780B75D6" w14:textId="77777777" w:rsidR="00C62D4A" w:rsidRPr="00C62D4A" w:rsidRDefault="00C62D4A" w:rsidP="00C62D4A">
      <w:pPr>
        <w:rPr>
          <w:lang w:val="fr-FR"/>
        </w:rPr>
      </w:pPr>
    </w:p>
    <w:p w14:paraId="1B0588ED" w14:textId="779DBF91" w:rsidR="00C62D4A" w:rsidRDefault="00C62D4A" w:rsidP="00C62D4A">
      <w:pPr>
        <w:rPr>
          <w:lang w:val="fr-FR"/>
        </w:rPr>
      </w:pPr>
      <w:r>
        <w:rPr>
          <w:lang w:val="fr-FR"/>
        </w:rPr>
        <w:t>Voici quelques points qui s’avèrent positif</w:t>
      </w:r>
      <w:r w:rsidR="008260E7">
        <w:rPr>
          <w:lang w:val="fr-FR"/>
        </w:rPr>
        <w:t>s</w:t>
      </w:r>
      <w:r>
        <w:rPr>
          <w:lang w:val="fr-FR"/>
        </w:rPr>
        <w:t xml:space="preserve"> concernant le projet de loi 14 : </w:t>
      </w:r>
    </w:p>
    <w:p w14:paraId="5A250AA8" w14:textId="77777777" w:rsidR="00C62D4A" w:rsidRDefault="00C62D4A" w:rsidP="00C62D4A">
      <w:pPr>
        <w:rPr>
          <w:lang w:val="fr-FR"/>
        </w:rPr>
      </w:pPr>
    </w:p>
    <w:p w14:paraId="36C8B19A" w14:textId="3087E54E" w:rsidR="00C62D4A" w:rsidRDefault="00C62D4A" w:rsidP="00C62D4A">
      <w:pPr>
        <w:pStyle w:val="ListParagraph"/>
        <w:numPr>
          <w:ilvl w:val="0"/>
          <w:numId w:val="3"/>
        </w:numPr>
        <w:jc w:val="both"/>
        <w:rPr>
          <w:lang w:val="fr-FR"/>
        </w:rPr>
      </w:pPr>
      <w:r>
        <w:rPr>
          <w:lang w:val="fr-FR"/>
        </w:rPr>
        <w:t xml:space="preserve">L’article 17 du PL14 confie une nouvelle responsabilité au Commissaire. En effet, le Commissaire aurait maintenant la responsabilité « d’assumer un rôle de prévention et d’éducation en matière de déontologie policière, notamment par le développement et </w:t>
      </w:r>
      <w:r>
        <w:rPr>
          <w:lang w:val="fr-FR"/>
        </w:rPr>
        <w:lastRenderedPageBreak/>
        <w:t xml:space="preserve">la mise en œuvre de programmes de prévention et </w:t>
      </w:r>
      <w:r w:rsidR="00A67484">
        <w:rPr>
          <w:lang w:val="fr-FR"/>
        </w:rPr>
        <w:t>d’information ».</w:t>
      </w:r>
      <w:r w:rsidR="00A67484">
        <w:rPr>
          <w:rStyle w:val="FootnoteReference"/>
          <w:lang w:val="fr-FR"/>
        </w:rPr>
        <w:footnoteReference w:id="27"/>
      </w:r>
      <w:r>
        <w:rPr>
          <w:lang w:val="fr-FR"/>
        </w:rPr>
        <w:t xml:space="preserve"> </w:t>
      </w:r>
      <w:r w:rsidR="00A67484">
        <w:rPr>
          <w:lang w:val="fr-FR"/>
        </w:rPr>
        <w:t>La Commissaire elle-même rappelait lors d’une séance des commissions l’importance de sensibiliser les policiers sur les comportements à risque des manquements déontologiques.</w:t>
      </w:r>
      <w:r w:rsidR="00A67484">
        <w:rPr>
          <w:rStyle w:val="FootnoteReference"/>
          <w:lang w:val="fr-FR"/>
        </w:rPr>
        <w:footnoteReference w:id="28"/>
      </w:r>
    </w:p>
    <w:p w14:paraId="0417248A" w14:textId="77777777" w:rsidR="004F4BFF" w:rsidRDefault="004F4BFF" w:rsidP="004F4BFF">
      <w:pPr>
        <w:pStyle w:val="ListParagraph"/>
        <w:jc w:val="both"/>
        <w:rPr>
          <w:lang w:val="fr-FR"/>
        </w:rPr>
      </w:pPr>
    </w:p>
    <w:p w14:paraId="3608E421" w14:textId="2AF1A4B3" w:rsidR="004F4BFF" w:rsidRDefault="00D649B3" w:rsidP="001F5D08">
      <w:pPr>
        <w:pStyle w:val="ListParagraph"/>
        <w:numPr>
          <w:ilvl w:val="0"/>
          <w:numId w:val="3"/>
        </w:numPr>
        <w:jc w:val="both"/>
        <w:rPr>
          <w:lang w:val="fr-FR"/>
        </w:rPr>
      </w:pPr>
      <w:r>
        <w:rPr>
          <w:lang w:val="fr-FR"/>
        </w:rPr>
        <w:t>L’article 37 du PL14 précise que le commissaire d</w:t>
      </w:r>
      <w:r w:rsidR="004F4BFF">
        <w:rPr>
          <w:lang w:val="fr-FR"/>
        </w:rPr>
        <w:t>oit tenir une enquête s’il reçoit une plainte alléguant la conduite discriminatoire d’un policier</w:t>
      </w:r>
      <w:r w:rsidR="004F4BFF">
        <w:rPr>
          <w:rStyle w:val="FootnoteReference"/>
          <w:lang w:val="fr-FR"/>
        </w:rPr>
        <w:footnoteReference w:id="29"/>
      </w:r>
      <w:r w:rsidR="004F4BFF">
        <w:rPr>
          <w:lang w:val="fr-FR"/>
        </w:rPr>
        <w:t xml:space="preserve">.  Une avenue à considérer pour Droit de Cité serait de mettre en avant </w:t>
      </w:r>
      <w:r w:rsidR="002020EF">
        <w:rPr>
          <w:lang w:val="fr-FR"/>
        </w:rPr>
        <w:t>auprès du Commissaire et du</w:t>
      </w:r>
      <w:r w:rsidR="004F4BFF">
        <w:rPr>
          <w:lang w:val="fr-FR"/>
        </w:rPr>
        <w:t xml:space="preserve"> Comité que le profilage social est bien une forme de discrimination. De cette manière, beaucoup plus d’enquête</w:t>
      </w:r>
      <w:r w:rsidR="008260E7">
        <w:rPr>
          <w:lang w:val="fr-FR"/>
        </w:rPr>
        <w:t>s</w:t>
      </w:r>
      <w:r w:rsidR="004F4BFF">
        <w:rPr>
          <w:lang w:val="fr-FR"/>
        </w:rPr>
        <w:t xml:space="preserve"> seraient ouverte</w:t>
      </w:r>
      <w:r w:rsidR="008260E7">
        <w:rPr>
          <w:lang w:val="fr-FR"/>
        </w:rPr>
        <w:t>s</w:t>
      </w:r>
      <w:r w:rsidR="004F4BFF">
        <w:rPr>
          <w:lang w:val="fr-FR"/>
        </w:rPr>
        <w:t xml:space="preserve"> dans des situations impliquant des personnes marginalisées. Dans un contexte plus général, cet article du PL14 montre que le législatif peut instaurer des lignes directrices afin de guider le Commissaire à avoir un protocole plus constant. </w:t>
      </w:r>
    </w:p>
    <w:p w14:paraId="56641D57" w14:textId="77777777" w:rsidR="00272065" w:rsidRPr="00D7683B" w:rsidRDefault="00272065" w:rsidP="00D7683B">
      <w:pPr>
        <w:rPr>
          <w:lang w:val="fr-FR"/>
        </w:rPr>
      </w:pPr>
    </w:p>
    <w:p w14:paraId="706F3B61" w14:textId="03948ED3" w:rsidR="001F5D08" w:rsidRDefault="001F5D08" w:rsidP="001F5D08">
      <w:pPr>
        <w:pStyle w:val="ListParagraph"/>
        <w:numPr>
          <w:ilvl w:val="0"/>
          <w:numId w:val="3"/>
        </w:numPr>
        <w:jc w:val="both"/>
        <w:rPr>
          <w:lang w:val="fr-FR"/>
        </w:rPr>
      </w:pPr>
      <w:r>
        <w:rPr>
          <w:lang w:val="fr-FR"/>
        </w:rPr>
        <w:t>L’article 41 du PL14 mentionne que le Commissaire pourra, de sa propre initiative, décider de tenir une enquête s’il constate qu’un policier semble avoir failli à son code de déontologie ou si un potentiel acte dérogatoire est porté à son attention</w:t>
      </w:r>
      <w:r>
        <w:rPr>
          <w:rStyle w:val="FootnoteReference"/>
          <w:lang w:val="fr-FR"/>
        </w:rPr>
        <w:footnoteReference w:id="30"/>
      </w:r>
      <w:r>
        <w:rPr>
          <w:lang w:val="fr-FR"/>
        </w:rPr>
        <w:t xml:space="preserve">. </w:t>
      </w:r>
    </w:p>
    <w:p w14:paraId="2BD3A7BE" w14:textId="77777777" w:rsidR="00272065" w:rsidRDefault="00272065" w:rsidP="00272065">
      <w:pPr>
        <w:jc w:val="both"/>
        <w:rPr>
          <w:lang w:val="fr-FR"/>
        </w:rPr>
      </w:pPr>
    </w:p>
    <w:p w14:paraId="63E6D765" w14:textId="79EDC584" w:rsidR="00272065" w:rsidRPr="00272065" w:rsidRDefault="00272065" w:rsidP="00272065">
      <w:pPr>
        <w:pStyle w:val="ListParagraph"/>
        <w:numPr>
          <w:ilvl w:val="0"/>
          <w:numId w:val="3"/>
        </w:numPr>
        <w:jc w:val="both"/>
        <w:rPr>
          <w:lang w:val="fr-FR"/>
        </w:rPr>
      </w:pPr>
      <w:r>
        <w:rPr>
          <w:lang w:val="fr-FR"/>
        </w:rPr>
        <w:t>Finalement, l’article 65 du PL14 retire la période maxim</w:t>
      </w:r>
      <w:r w:rsidR="002020EF">
        <w:rPr>
          <w:lang w:val="fr-FR"/>
        </w:rPr>
        <w:t>um</w:t>
      </w:r>
      <w:r>
        <w:rPr>
          <w:lang w:val="fr-FR"/>
        </w:rPr>
        <w:t xml:space="preserve"> de suspension qui est de 60 jours. Il ajoute aussi </w:t>
      </w:r>
      <w:r w:rsidR="00B70198">
        <w:rPr>
          <w:lang w:val="fr-FR"/>
        </w:rPr>
        <w:t>plusieurs autres sanctions possibles</w:t>
      </w:r>
      <w:r>
        <w:rPr>
          <w:lang w:val="fr-FR"/>
        </w:rPr>
        <w:t xml:space="preserve"> que le Comité peut imposer tel</w:t>
      </w:r>
      <w:r w:rsidR="00B70198">
        <w:rPr>
          <w:lang w:val="fr-FR"/>
        </w:rPr>
        <w:t xml:space="preserve"> que suivre un stage ou une formation de perfectionnement, se soumettre à une visite médicale, participer à un programme d’aide ou de soutien ou à une thérapie en lien avec ses </w:t>
      </w:r>
      <w:r w:rsidR="007A06C3">
        <w:rPr>
          <w:lang w:val="fr-FR"/>
        </w:rPr>
        <w:t xml:space="preserve">besoins, participer à un programme d’engagement communautaire ou à un stage d’immersion sociale et citoyenne, se soumettre à un plan d’encadrement </w:t>
      </w:r>
      <w:r w:rsidR="008260E7">
        <w:rPr>
          <w:lang w:val="fr-FR"/>
        </w:rPr>
        <w:t>e</w:t>
      </w:r>
      <w:r w:rsidR="007A06C3">
        <w:rPr>
          <w:lang w:val="fr-FR"/>
        </w:rPr>
        <w:t>t participer à un programme administratif.</w:t>
      </w:r>
      <w:r w:rsidR="007A06C3">
        <w:rPr>
          <w:rStyle w:val="FootnoteReference"/>
          <w:lang w:val="fr-FR"/>
        </w:rPr>
        <w:footnoteReference w:id="31"/>
      </w:r>
    </w:p>
    <w:p w14:paraId="251C04FB" w14:textId="77777777" w:rsidR="004F4BFF" w:rsidRDefault="004F4BFF" w:rsidP="004F4BFF">
      <w:pPr>
        <w:jc w:val="both"/>
        <w:rPr>
          <w:lang w:val="fr-FR"/>
        </w:rPr>
      </w:pPr>
    </w:p>
    <w:p w14:paraId="43FB0526" w14:textId="77777777" w:rsidR="004F4BFF" w:rsidRPr="004F4BFF" w:rsidRDefault="004F4BFF" w:rsidP="004F4BFF">
      <w:pPr>
        <w:jc w:val="both"/>
        <w:rPr>
          <w:lang w:val="fr-FR"/>
        </w:rPr>
      </w:pPr>
    </w:p>
    <w:p w14:paraId="68D91F19" w14:textId="3F72C2F4" w:rsidR="004F0EEF" w:rsidRPr="0064159B" w:rsidRDefault="00D7683B" w:rsidP="0064159B">
      <w:pPr>
        <w:pStyle w:val="Heading1"/>
        <w:numPr>
          <w:ilvl w:val="0"/>
          <w:numId w:val="6"/>
        </w:numPr>
        <w:jc w:val="center"/>
        <w:rPr>
          <w:u w:val="single"/>
          <w:lang w:val="fr-CA"/>
        </w:rPr>
      </w:pPr>
      <w:bookmarkStart w:id="11" w:name="_Toc143850235"/>
      <w:r w:rsidRPr="0064159B">
        <w:rPr>
          <w:u w:val="single"/>
          <w:lang w:val="fr-CA"/>
        </w:rPr>
        <w:t>La problématique budgétaire du Commissaire à la déontologie policière</w:t>
      </w:r>
      <w:bookmarkEnd w:id="11"/>
    </w:p>
    <w:p w14:paraId="4923D915" w14:textId="77777777" w:rsidR="00D7683B" w:rsidRDefault="00D7683B" w:rsidP="00685BCF">
      <w:pPr>
        <w:spacing w:line="360" w:lineRule="auto"/>
        <w:jc w:val="both"/>
        <w:rPr>
          <w:sz w:val="26"/>
          <w:szCs w:val="26"/>
          <w:u w:val="single"/>
          <w:lang w:val="fr-CA"/>
        </w:rPr>
      </w:pPr>
    </w:p>
    <w:p w14:paraId="39BEADDE" w14:textId="7BA5BCC7" w:rsidR="0064159B" w:rsidRDefault="00D7683B" w:rsidP="00685BCF">
      <w:pPr>
        <w:spacing w:line="360" w:lineRule="auto"/>
        <w:jc w:val="both"/>
        <w:rPr>
          <w:lang w:val="fr-CA"/>
        </w:rPr>
      </w:pPr>
      <w:r>
        <w:rPr>
          <w:lang w:val="fr-CA"/>
        </w:rPr>
        <w:t>Comme expliqué plus haut, le projet de loi 14 attribue de nouvelle</w:t>
      </w:r>
      <w:r w:rsidR="008260E7">
        <w:rPr>
          <w:lang w:val="fr-CA"/>
        </w:rPr>
        <w:t>s</w:t>
      </w:r>
      <w:r>
        <w:rPr>
          <w:lang w:val="fr-CA"/>
        </w:rPr>
        <w:t xml:space="preserve"> responsabilité</w:t>
      </w:r>
      <w:r w:rsidR="008260E7">
        <w:rPr>
          <w:lang w:val="fr-CA"/>
        </w:rPr>
        <w:t>s</w:t>
      </w:r>
      <w:r>
        <w:rPr>
          <w:lang w:val="fr-CA"/>
        </w:rPr>
        <w:t xml:space="preserve"> au Commissaire à la déontologie policière. Ces nouvelles responsabilités sont dans l’ensemble somme toute positive</w:t>
      </w:r>
      <w:r w:rsidR="008260E7">
        <w:rPr>
          <w:lang w:val="fr-CA"/>
        </w:rPr>
        <w:t>s</w:t>
      </w:r>
      <w:r>
        <w:rPr>
          <w:lang w:val="fr-CA"/>
        </w:rPr>
        <w:t>. Cependant, tout semble indiqu</w:t>
      </w:r>
      <w:r w:rsidR="0064159B">
        <w:rPr>
          <w:lang w:val="fr-CA"/>
        </w:rPr>
        <w:t>er</w:t>
      </w:r>
      <w:r>
        <w:rPr>
          <w:lang w:val="fr-CA"/>
        </w:rPr>
        <w:t xml:space="preserve"> que le budget du Commissaire </w:t>
      </w:r>
      <w:r>
        <w:rPr>
          <w:lang w:val="fr-CA"/>
        </w:rPr>
        <w:lastRenderedPageBreak/>
        <w:t xml:space="preserve">restera le même. </w:t>
      </w:r>
      <w:r w:rsidR="0064159B">
        <w:rPr>
          <w:lang w:val="fr-CA"/>
        </w:rPr>
        <w:t xml:space="preserve"> De plus, le nombre de plaintes reçues est en constante augmentation depuis au moins 2017-2018.</w:t>
      </w:r>
      <w:r w:rsidR="002020EF">
        <w:rPr>
          <w:lang w:val="fr-CA"/>
        </w:rPr>
        <w:t xml:space="preserve"> </w:t>
      </w:r>
    </w:p>
    <w:p w14:paraId="4D98DD13" w14:textId="77777777" w:rsidR="0064159B" w:rsidRPr="00D7683B" w:rsidRDefault="0064159B" w:rsidP="00685BCF">
      <w:pPr>
        <w:spacing w:line="360" w:lineRule="auto"/>
        <w:jc w:val="both"/>
        <w:rPr>
          <w:lang w:val="fr-CA"/>
        </w:rPr>
      </w:pPr>
    </w:p>
    <w:p w14:paraId="518F5EFD" w14:textId="34A3EE68" w:rsidR="00D30E42" w:rsidRPr="0064159B" w:rsidRDefault="00D30E42" w:rsidP="0064159B">
      <w:pPr>
        <w:pStyle w:val="Heading2"/>
        <w:numPr>
          <w:ilvl w:val="1"/>
          <w:numId w:val="34"/>
        </w:numPr>
        <w:rPr>
          <w:u w:val="single"/>
          <w:lang w:val="fr-CA"/>
        </w:rPr>
      </w:pPr>
      <w:bookmarkStart w:id="12" w:name="_Toc143850236"/>
      <w:r w:rsidRPr="0064159B">
        <w:rPr>
          <w:u w:val="single"/>
          <w:lang w:val="fr-CA"/>
        </w:rPr>
        <w:t>Augmentation constante du nombre de plaintes.</w:t>
      </w:r>
      <w:bookmarkEnd w:id="12"/>
      <w:r w:rsidRPr="0064159B">
        <w:rPr>
          <w:u w:val="single"/>
          <w:lang w:val="fr-CA"/>
        </w:rPr>
        <w:t xml:space="preserve"> </w:t>
      </w:r>
    </w:p>
    <w:p w14:paraId="61853547" w14:textId="77777777" w:rsidR="0064159B" w:rsidRDefault="0064159B" w:rsidP="00685BCF">
      <w:pPr>
        <w:spacing w:line="360" w:lineRule="auto"/>
        <w:jc w:val="both"/>
        <w:rPr>
          <w:sz w:val="26"/>
          <w:szCs w:val="26"/>
          <w:u w:val="single"/>
          <w:lang w:val="fr-CA"/>
        </w:rPr>
      </w:pPr>
    </w:p>
    <w:p w14:paraId="03A292B0" w14:textId="37FF9D86" w:rsidR="00D30E42" w:rsidRDefault="00D30E42" w:rsidP="00685BCF">
      <w:pPr>
        <w:spacing w:line="360" w:lineRule="auto"/>
        <w:jc w:val="both"/>
        <w:rPr>
          <w:lang w:val="fr-CA"/>
        </w:rPr>
      </w:pPr>
      <w:r>
        <w:rPr>
          <w:lang w:val="fr-CA"/>
        </w:rPr>
        <w:t>En effet, en 2017-2018, le nombre de plaintes reçues était de 1818. Pour l’année 2021-2022</w:t>
      </w:r>
      <w:r w:rsidR="008260E7">
        <w:rPr>
          <w:lang w:val="fr-CA"/>
        </w:rPr>
        <w:t>,</w:t>
      </w:r>
      <w:r>
        <w:rPr>
          <w:lang w:val="fr-CA"/>
        </w:rPr>
        <w:t xml:space="preserve"> le nombre de plaintes reçues était de 2493</w:t>
      </w:r>
      <w:r w:rsidR="0064159B">
        <w:rPr>
          <w:rStyle w:val="FootnoteReference"/>
          <w:lang w:val="fr-CA"/>
        </w:rPr>
        <w:footnoteReference w:id="32"/>
      </w:r>
      <w:r>
        <w:rPr>
          <w:lang w:val="fr-CA"/>
        </w:rPr>
        <w:t xml:space="preserve">. Entre l’année 2017-2018 et 2021-2022, le nombre de plaintes a donc augmenté de 37.13%. </w:t>
      </w:r>
      <w:r w:rsidR="000E66BD">
        <w:rPr>
          <w:lang w:val="fr-CA"/>
        </w:rPr>
        <w:t>Cependant, c</w:t>
      </w:r>
      <w:r>
        <w:rPr>
          <w:lang w:val="fr-CA"/>
        </w:rPr>
        <w:t xml:space="preserve">ette augmentation ne signifie pas forcément que le nombre de policiers qui a manqué à son code déontologique a augmenté. </w:t>
      </w:r>
    </w:p>
    <w:p w14:paraId="126A0A60" w14:textId="77777777" w:rsidR="00D30E42" w:rsidRDefault="00D30E42" w:rsidP="00685BCF">
      <w:pPr>
        <w:spacing w:line="360" w:lineRule="auto"/>
        <w:jc w:val="both"/>
        <w:rPr>
          <w:lang w:val="fr-CA"/>
        </w:rPr>
      </w:pPr>
    </w:p>
    <w:p w14:paraId="6C87C1D1" w14:textId="6A20A8D1" w:rsidR="00D30E42" w:rsidRDefault="00D30E42" w:rsidP="00685BCF">
      <w:pPr>
        <w:spacing w:line="360" w:lineRule="auto"/>
        <w:jc w:val="both"/>
        <w:rPr>
          <w:lang w:val="fr-CA"/>
        </w:rPr>
      </w:pPr>
      <w:r w:rsidRPr="00D30E42">
        <w:rPr>
          <w:lang w:val="fr-CA"/>
        </w:rPr>
        <w:t xml:space="preserve">Une augmentation de la visibilité du Commissaire à la </w:t>
      </w:r>
      <w:r w:rsidR="008260E7">
        <w:rPr>
          <w:lang w:val="fr-CA"/>
        </w:rPr>
        <w:t>d</w:t>
      </w:r>
      <w:r w:rsidRPr="00D30E42">
        <w:rPr>
          <w:lang w:val="fr-CA"/>
        </w:rPr>
        <w:t xml:space="preserve">éontologie </w:t>
      </w:r>
      <w:r w:rsidR="008260E7">
        <w:rPr>
          <w:lang w:val="fr-CA"/>
        </w:rPr>
        <w:t>p</w:t>
      </w:r>
      <w:r w:rsidRPr="00D30E42">
        <w:rPr>
          <w:lang w:val="fr-CA"/>
        </w:rPr>
        <w:t>olicière</w:t>
      </w:r>
      <w:r>
        <w:rPr>
          <w:lang w:val="fr-CA"/>
        </w:rPr>
        <w:t xml:space="preserve"> pourrait aussi expliquer l’augmentation du nombre de plaintes</w:t>
      </w:r>
      <w:r w:rsidRPr="00D30E42">
        <w:rPr>
          <w:lang w:val="fr-CA"/>
        </w:rPr>
        <w:t>. En effet, en 2017-2018</w:t>
      </w:r>
      <w:r w:rsidR="008260E7">
        <w:rPr>
          <w:lang w:val="fr-CA"/>
        </w:rPr>
        <w:t>,</w:t>
      </w:r>
      <w:r w:rsidRPr="00D30E42">
        <w:rPr>
          <w:lang w:val="fr-CA"/>
        </w:rPr>
        <w:t xml:space="preserve"> le nombre de visites sur le site internet du Commissaire était de 43 054. En 2021-2022, le nombre de visites était de 61 339 : une augmentation de 42.47%. </w:t>
      </w:r>
      <w:r w:rsidR="008431AB">
        <w:rPr>
          <w:lang w:val="fr-CA"/>
        </w:rPr>
        <w:t xml:space="preserve"> Cependant, même si l’augmentation des plaintes pourrai</w:t>
      </w:r>
      <w:r w:rsidR="00A61827">
        <w:rPr>
          <w:lang w:val="fr-CA"/>
        </w:rPr>
        <w:t>t</w:t>
      </w:r>
      <w:r w:rsidR="008431AB">
        <w:rPr>
          <w:lang w:val="fr-CA"/>
        </w:rPr>
        <w:t xml:space="preserve"> EN PARTIE être expliqué</w:t>
      </w:r>
      <w:r w:rsidR="00A61827">
        <w:rPr>
          <w:lang w:val="fr-CA"/>
        </w:rPr>
        <w:t>e</w:t>
      </w:r>
      <w:r w:rsidR="008431AB">
        <w:rPr>
          <w:lang w:val="fr-CA"/>
        </w:rPr>
        <w:t xml:space="preserve"> par une augmentation de la visibilité du Commissaire, cela veut dire qu’énormément de manquements n’ont pas été reportés au Commissaire à travers les années. </w:t>
      </w:r>
    </w:p>
    <w:p w14:paraId="457BE2BF" w14:textId="4FB4AF0D" w:rsidR="00D30E42" w:rsidRDefault="00D30E42" w:rsidP="008431AB">
      <w:pPr>
        <w:spacing w:line="360" w:lineRule="auto"/>
        <w:jc w:val="both"/>
        <w:rPr>
          <w:lang w:val="fr-CA"/>
        </w:rPr>
      </w:pPr>
    </w:p>
    <w:p w14:paraId="6CDABCD5" w14:textId="6FEB773A" w:rsidR="00D30E42" w:rsidRDefault="000E66BD" w:rsidP="00685BCF">
      <w:pPr>
        <w:spacing w:line="360" w:lineRule="auto"/>
        <w:jc w:val="both"/>
        <w:rPr>
          <w:lang w:val="fr-CA"/>
        </w:rPr>
      </w:pPr>
      <w:r>
        <w:rPr>
          <w:lang w:val="fr-CA"/>
        </w:rPr>
        <w:t xml:space="preserve">Considérant </w:t>
      </w:r>
      <w:r w:rsidR="008260E7">
        <w:rPr>
          <w:lang w:val="fr-CA"/>
        </w:rPr>
        <w:t xml:space="preserve">que </w:t>
      </w:r>
      <w:r>
        <w:rPr>
          <w:lang w:val="fr-CA"/>
        </w:rPr>
        <w:t xml:space="preserve">le nombre de plaintes que reçoit le Commissaire ne fait qu’augmenter depuis les 5 dernières années </w:t>
      </w:r>
      <w:r w:rsidR="008431AB">
        <w:rPr>
          <w:lang w:val="fr-CA"/>
        </w:rPr>
        <w:t>et que</w:t>
      </w:r>
      <w:r>
        <w:rPr>
          <w:lang w:val="fr-CA"/>
        </w:rPr>
        <w:t xml:space="preserve"> le Projet de loi 14 ajoute de sérieuses responsabilités au Commissaire, il est évident qu’il faut que le budget du Commissaire soit augmenté. </w:t>
      </w:r>
    </w:p>
    <w:p w14:paraId="0662F3C4" w14:textId="77777777" w:rsidR="00D30E42" w:rsidRDefault="00D30E42" w:rsidP="00685BCF">
      <w:pPr>
        <w:spacing w:line="360" w:lineRule="auto"/>
        <w:jc w:val="both"/>
        <w:rPr>
          <w:lang w:val="fr-CA"/>
        </w:rPr>
      </w:pPr>
    </w:p>
    <w:p w14:paraId="735499A2" w14:textId="77777777" w:rsidR="00F50FA9" w:rsidRDefault="00F50FA9" w:rsidP="00891D75">
      <w:pPr>
        <w:spacing w:line="360" w:lineRule="auto"/>
        <w:jc w:val="center"/>
        <w:rPr>
          <w:rFonts w:eastAsia="Times New Roman" w:cstheme="minorHAnsi"/>
          <w:color w:val="000000" w:themeColor="text1"/>
          <w:kern w:val="0"/>
          <w:lang w:val="fr-FR" w:eastAsia="en-GB"/>
          <w14:ligatures w14:val="none"/>
        </w:rPr>
      </w:pPr>
    </w:p>
    <w:p w14:paraId="27E6432E" w14:textId="77777777" w:rsidR="008431AB" w:rsidRDefault="008431AB" w:rsidP="00891D75">
      <w:pPr>
        <w:spacing w:line="360" w:lineRule="auto"/>
        <w:jc w:val="center"/>
        <w:rPr>
          <w:rFonts w:eastAsia="Times New Roman" w:cstheme="minorHAnsi"/>
          <w:color w:val="000000" w:themeColor="text1"/>
          <w:kern w:val="0"/>
          <w:lang w:val="fr-FR" w:eastAsia="en-GB"/>
          <w14:ligatures w14:val="none"/>
        </w:rPr>
      </w:pPr>
    </w:p>
    <w:p w14:paraId="2B4E673D" w14:textId="77777777" w:rsidR="008431AB" w:rsidRDefault="008431AB" w:rsidP="00891D75">
      <w:pPr>
        <w:spacing w:line="360" w:lineRule="auto"/>
        <w:jc w:val="center"/>
        <w:rPr>
          <w:rFonts w:eastAsia="Times New Roman" w:cstheme="minorHAnsi"/>
          <w:color w:val="000000" w:themeColor="text1"/>
          <w:kern w:val="0"/>
          <w:lang w:val="fr-FR" w:eastAsia="en-GB"/>
          <w14:ligatures w14:val="none"/>
        </w:rPr>
      </w:pPr>
    </w:p>
    <w:p w14:paraId="43C292A1" w14:textId="77777777" w:rsidR="008431AB" w:rsidRDefault="008431AB" w:rsidP="00891D75">
      <w:pPr>
        <w:spacing w:line="360" w:lineRule="auto"/>
        <w:jc w:val="center"/>
        <w:rPr>
          <w:rFonts w:eastAsia="Times New Roman" w:cstheme="minorHAnsi"/>
          <w:color w:val="000000" w:themeColor="text1"/>
          <w:kern w:val="0"/>
          <w:lang w:val="fr-FR" w:eastAsia="en-GB"/>
          <w14:ligatures w14:val="none"/>
        </w:rPr>
      </w:pPr>
    </w:p>
    <w:p w14:paraId="08EA9411" w14:textId="77777777" w:rsidR="008431AB" w:rsidRDefault="008431AB" w:rsidP="00891D75">
      <w:pPr>
        <w:spacing w:line="360" w:lineRule="auto"/>
        <w:jc w:val="center"/>
        <w:rPr>
          <w:rFonts w:eastAsia="Times New Roman" w:cstheme="minorHAnsi"/>
          <w:color w:val="000000" w:themeColor="text1"/>
          <w:kern w:val="0"/>
          <w:lang w:val="fr-FR" w:eastAsia="en-GB"/>
          <w14:ligatures w14:val="none"/>
        </w:rPr>
      </w:pPr>
    </w:p>
    <w:p w14:paraId="622D8201" w14:textId="0442A052" w:rsidR="004579BF" w:rsidRPr="004579BF" w:rsidRDefault="000E66BD" w:rsidP="004579BF">
      <w:pPr>
        <w:pStyle w:val="Heading2"/>
        <w:numPr>
          <w:ilvl w:val="1"/>
          <w:numId w:val="34"/>
        </w:numPr>
        <w:rPr>
          <w:u w:val="single"/>
          <w:lang w:val="fr-FR"/>
        </w:rPr>
      </w:pPr>
      <w:bookmarkStart w:id="13" w:name="_Toc143850237"/>
      <w:r w:rsidRPr="004579BF">
        <w:rPr>
          <w:u w:val="single"/>
          <w:lang w:val="fr-FR"/>
        </w:rPr>
        <w:lastRenderedPageBreak/>
        <w:t>Exemple du manque de moyen au Commissaire ainsi qu’au Comité</w:t>
      </w:r>
      <w:bookmarkEnd w:id="13"/>
    </w:p>
    <w:p w14:paraId="61F774B3" w14:textId="77777777" w:rsidR="004579BF" w:rsidRDefault="004579BF" w:rsidP="004579BF">
      <w:pPr>
        <w:spacing w:after="240"/>
        <w:jc w:val="center"/>
        <w:rPr>
          <w:sz w:val="28"/>
          <w:szCs w:val="28"/>
          <w:u w:val="single"/>
          <w:lang w:val="fr-FR"/>
        </w:rPr>
      </w:pPr>
    </w:p>
    <w:p w14:paraId="0DAFFE75" w14:textId="46CCD541" w:rsidR="004579BF" w:rsidRDefault="004579BF" w:rsidP="000E66BD">
      <w:pPr>
        <w:spacing w:after="240"/>
        <w:jc w:val="both"/>
        <w:rPr>
          <w:lang w:val="fr-FR"/>
        </w:rPr>
      </w:pPr>
      <w:r>
        <w:rPr>
          <w:lang w:val="fr-FR"/>
        </w:rPr>
        <w:t>Voici un exemple d’une citation qui a été annulé</w:t>
      </w:r>
      <w:r w:rsidR="00FF2BA3">
        <w:rPr>
          <w:lang w:val="fr-FR"/>
        </w:rPr>
        <w:t>e</w:t>
      </w:r>
      <w:r>
        <w:rPr>
          <w:lang w:val="fr-FR"/>
        </w:rPr>
        <w:t xml:space="preserve"> parce que le plaignant ne s’est pas présenté. Il est probable qu’avec plus de ressources, le comité n’aurait peut-être pas annulé la citation aussi facilement. </w:t>
      </w:r>
    </w:p>
    <w:p w14:paraId="4C46499E" w14:textId="5C97281B" w:rsidR="000E66BD" w:rsidRDefault="000E66BD" w:rsidP="000E66BD">
      <w:pPr>
        <w:spacing w:after="240"/>
        <w:jc w:val="both"/>
        <w:rPr>
          <w:lang w:val="fr-FR"/>
        </w:rPr>
      </w:pPr>
      <w:r>
        <w:rPr>
          <w:lang w:val="fr-FR"/>
        </w:rPr>
        <w:t>Dans le cas ci-dessous, le Comité à la déontologie policière décide de rejeter la citation</w:t>
      </w:r>
      <w:r w:rsidR="008260E7">
        <w:rPr>
          <w:lang w:val="fr-FR"/>
        </w:rPr>
        <w:t>,</w:t>
      </w:r>
      <w:r>
        <w:rPr>
          <w:lang w:val="fr-FR"/>
        </w:rPr>
        <w:t xml:space="preserve"> car le plaignant et seul témoin de la scène ne s’est pas présenté. Le comité note que le plaignant « dénote assurément un désintérêt à l’égard de sa plainte », puisqu’il a reçu les avis d’assignation dont un</w:t>
      </w:r>
      <w:r w:rsidR="008F046B">
        <w:rPr>
          <w:lang w:val="fr-FR"/>
        </w:rPr>
        <w:t>,</w:t>
      </w:r>
      <w:r>
        <w:rPr>
          <w:lang w:val="fr-FR"/>
        </w:rPr>
        <w:t xml:space="preserve"> en main propre cinq jours avant l’audience</w:t>
      </w:r>
      <w:r w:rsidR="008F046B">
        <w:rPr>
          <w:lang w:val="fr-FR"/>
        </w:rPr>
        <w:t xml:space="preserve">. De plus, </w:t>
      </w:r>
      <w:r>
        <w:rPr>
          <w:lang w:val="fr-FR"/>
        </w:rPr>
        <w:t>de multiple</w:t>
      </w:r>
      <w:r w:rsidR="008F046B">
        <w:rPr>
          <w:lang w:val="fr-FR"/>
        </w:rPr>
        <w:t>s</w:t>
      </w:r>
      <w:r>
        <w:rPr>
          <w:lang w:val="fr-FR"/>
        </w:rPr>
        <w:t xml:space="preserve"> conversation</w:t>
      </w:r>
      <w:r w:rsidR="008260E7">
        <w:rPr>
          <w:lang w:val="fr-FR"/>
        </w:rPr>
        <w:t>s</w:t>
      </w:r>
      <w:r>
        <w:rPr>
          <w:lang w:val="fr-FR"/>
        </w:rPr>
        <w:t xml:space="preserve"> téléphonique</w:t>
      </w:r>
      <w:r w:rsidR="008F046B">
        <w:rPr>
          <w:lang w:val="fr-FR"/>
        </w:rPr>
        <w:t xml:space="preserve">s </w:t>
      </w:r>
      <w:r>
        <w:rPr>
          <w:lang w:val="fr-FR"/>
        </w:rPr>
        <w:t>n’ont rien donné.</w:t>
      </w:r>
      <w:r w:rsidR="004579BF">
        <w:rPr>
          <w:rStyle w:val="FootnoteReference"/>
          <w:lang w:val="fr-FR"/>
        </w:rPr>
        <w:footnoteReference w:id="33"/>
      </w:r>
      <w:r>
        <w:rPr>
          <w:lang w:val="fr-FR"/>
        </w:rPr>
        <w:t xml:space="preserve"> Il est possible de soulever les problèmes suivants : </w:t>
      </w:r>
    </w:p>
    <w:p w14:paraId="3F830771" w14:textId="66DD34B4" w:rsidR="000E66BD" w:rsidRDefault="000E66BD" w:rsidP="000E66BD">
      <w:pPr>
        <w:pStyle w:val="ListParagraph"/>
        <w:numPr>
          <w:ilvl w:val="0"/>
          <w:numId w:val="1"/>
        </w:numPr>
        <w:spacing w:after="240"/>
        <w:jc w:val="both"/>
        <w:rPr>
          <w:lang w:val="fr-FR"/>
        </w:rPr>
      </w:pPr>
      <w:r>
        <w:rPr>
          <w:lang w:val="fr-FR"/>
        </w:rPr>
        <w:t>Le Comité considère l’absence du plaignant comme une preuve de son désintérêt. Cependant, son absence peut aussi être d</w:t>
      </w:r>
      <w:r w:rsidR="00FF2BA3">
        <w:rPr>
          <w:lang w:val="fr-FR"/>
        </w:rPr>
        <w:t>ue</w:t>
      </w:r>
      <w:r>
        <w:rPr>
          <w:lang w:val="fr-FR"/>
        </w:rPr>
        <w:t xml:space="preserve"> </w:t>
      </w:r>
      <w:r w:rsidR="008F046B">
        <w:rPr>
          <w:lang w:val="fr-FR"/>
        </w:rPr>
        <w:t>à</w:t>
      </w:r>
      <w:r>
        <w:rPr>
          <w:lang w:val="fr-FR"/>
        </w:rPr>
        <w:t xml:space="preserve"> la peur de représailles du milieu policier ou bien, tout simplement </w:t>
      </w:r>
      <w:r w:rsidR="008F046B">
        <w:rPr>
          <w:lang w:val="fr-FR"/>
        </w:rPr>
        <w:t>à</w:t>
      </w:r>
      <w:r>
        <w:rPr>
          <w:lang w:val="fr-FR"/>
        </w:rPr>
        <w:t xml:space="preserve"> la peur de revivre les évènements qui ont mené à sa plainte. </w:t>
      </w:r>
    </w:p>
    <w:p w14:paraId="20C15A1C" w14:textId="50104C6A" w:rsidR="000E66BD" w:rsidRDefault="000E66BD" w:rsidP="000E66BD">
      <w:pPr>
        <w:pStyle w:val="ListParagraph"/>
        <w:numPr>
          <w:ilvl w:val="0"/>
          <w:numId w:val="1"/>
        </w:numPr>
        <w:spacing w:after="240"/>
        <w:jc w:val="both"/>
        <w:rPr>
          <w:lang w:val="fr-FR"/>
        </w:rPr>
      </w:pPr>
      <w:r>
        <w:rPr>
          <w:lang w:val="fr-FR"/>
        </w:rPr>
        <w:t>Il est vrai que sans le plaignant, le Comité ne peut pas rendre une décision éclairée. Cependant, il aurait été possible de reporter la citation afin de comprendre pourquoi le plaignant ne s’est pas présenté devant le comité au lieu de rejet</w:t>
      </w:r>
      <w:r w:rsidR="00D36352">
        <w:rPr>
          <w:lang w:val="fr-FR"/>
        </w:rPr>
        <w:t>er</w:t>
      </w:r>
      <w:r>
        <w:rPr>
          <w:lang w:val="fr-FR"/>
        </w:rPr>
        <w:t> la citation en laissant impuni un acte potentiellement non</w:t>
      </w:r>
      <w:r w:rsidR="00D36352">
        <w:rPr>
          <w:lang w:val="fr-FR"/>
        </w:rPr>
        <w:t xml:space="preserve"> c</w:t>
      </w:r>
      <w:r>
        <w:rPr>
          <w:lang w:val="fr-FR"/>
        </w:rPr>
        <w:t xml:space="preserve">onforme au code de déontologie policière. </w:t>
      </w:r>
    </w:p>
    <w:p w14:paraId="6AE9B3C1" w14:textId="5C6AD76E" w:rsidR="000E66BD" w:rsidRPr="000E66BD" w:rsidRDefault="000E66BD" w:rsidP="000E66BD">
      <w:pPr>
        <w:spacing w:after="240"/>
        <w:jc w:val="both"/>
        <w:rPr>
          <w:lang w:val="fr-FR"/>
        </w:rPr>
      </w:pPr>
      <w:r>
        <w:rPr>
          <w:lang w:val="fr-FR"/>
        </w:rPr>
        <w:t xml:space="preserve">Il est fort probable que le Comité </w:t>
      </w:r>
      <w:r w:rsidR="004579BF">
        <w:rPr>
          <w:lang w:val="fr-FR"/>
        </w:rPr>
        <w:t>n’a</w:t>
      </w:r>
      <w:r>
        <w:rPr>
          <w:lang w:val="fr-FR"/>
        </w:rPr>
        <w:t xml:space="preserve"> pas voulu report</w:t>
      </w:r>
      <w:r w:rsidR="004579BF">
        <w:rPr>
          <w:lang w:val="fr-FR"/>
        </w:rPr>
        <w:t>er cette citation afin de ne pas prendre le risque que le plaignant ne se représente pas ou bien tout simplement pour ne pas avoir organisé une deuxième citation. Dans les deux cas, il faudrait des ressources, ressources que le milieu de la déontologie n’a pas. En conclusion, le manque de ressource</w:t>
      </w:r>
      <w:r w:rsidR="008431AB">
        <w:rPr>
          <w:lang w:val="fr-FR"/>
        </w:rPr>
        <w:t>s</w:t>
      </w:r>
      <w:r w:rsidR="004579BF">
        <w:rPr>
          <w:lang w:val="fr-FR"/>
        </w:rPr>
        <w:t xml:space="preserve"> au sein du milieu déontologique fait en sorte que certains potentiel</w:t>
      </w:r>
      <w:r w:rsidR="00D36352">
        <w:rPr>
          <w:lang w:val="fr-FR"/>
        </w:rPr>
        <w:t>s</w:t>
      </w:r>
      <w:r w:rsidR="004579BF">
        <w:rPr>
          <w:lang w:val="fr-FR"/>
        </w:rPr>
        <w:t xml:space="preserve"> manquement</w:t>
      </w:r>
      <w:r w:rsidR="00D36352">
        <w:rPr>
          <w:lang w:val="fr-FR"/>
        </w:rPr>
        <w:t>s</w:t>
      </w:r>
      <w:r w:rsidR="004579BF">
        <w:rPr>
          <w:lang w:val="fr-FR"/>
        </w:rPr>
        <w:t xml:space="preserve"> déontologique</w:t>
      </w:r>
      <w:r w:rsidR="00D36352">
        <w:rPr>
          <w:lang w:val="fr-FR"/>
        </w:rPr>
        <w:t>s</w:t>
      </w:r>
      <w:r w:rsidR="004579BF">
        <w:rPr>
          <w:lang w:val="fr-FR"/>
        </w:rPr>
        <w:t xml:space="preserve"> ne sont pas entendu</w:t>
      </w:r>
      <w:r w:rsidR="00D36352">
        <w:rPr>
          <w:lang w:val="fr-FR"/>
        </w:rPr>
        <w:t>s</w:t>
      </w:r>
      <w:r w:rsidR="004579BF">
        <w:rPr>
          <w:lang w:val="fr-FR"/>
        </w:rPr>
        <w:t xml:space="preserve"> par le comité même si la situation mériterait d’être analysé</w:t>
      </w:r>
      <w:r w:rsidR="00D36352">
        <w:rPr>
          <w:lang w:val="fr-FR"/>
        </w:rPr>
        <w:t>e</w:t>
      </w:r>
      <w:r w:rsidR="004579BF">
        <w:rPr>
          <w:lang w:val="fr-FR"/>
        </w:rPr>
        <w:t xml:space="preserve">. </w:t>
      </w:r>
    </w:p>
    <w:p w14:paraId="3DC22099" w14:textId="430BEA9F" w:rsidR="001C63E9" w:rsidRPr="00162D36" w:rsidRDefault="001C63E9" w:rsidP="00162D36">
      <w:pPr>
        <w:spacing w:after="240" w:line="360" w:lineRule="auto"/>
        <w:rPr>
          <w:rFonts w:eastAsia="Times New Roman" w:cstheme="minorHAnsi"/>
          <w:kern w:val="0"/>
          <w:sz w:val="28"/>
          <w:szCs w:val="28"/>
          <w:u w:val="single"/>
          <w:lang w:val="fr-FR" w:eastAsia="en-GB"/>
          <w14:ligatures w14:val="none"/>
        </w:rPr>
      </w:pPr>
    </w:p>
    <w:p w14:paraId="13BDDA95" w14:textId="77777777" w:rsidR="009F2275" w:rsidRDefault="009F2275" w:rsidP="00685BCF">
      <w:pPr>
        <w:spacing w:after="240" w:line="360" w:lineRule="auto"/>
        <w:rPr>
          <w:rFonts w:eastAsia="Times New Roman" w:cstheme="minorHAnsi"/>
          <w:kern w:val="0"/>
          <w:lang w:val="fr-FR" w:eastAsia="en-GB"/>
          <w14:ligatures w14:val="none"/>
        </w:rPr>
      </w:pPr>
    </w:p>
    <w:p w14:paraId="60EA5753" w14:textId="77777777" w:rsidR="004579BF" w:rsidRDefault="004579BF" w:rsidP="009F2275">
      <w:pPr>
        <w:pStyle w:val="NormalWeb"/>
        <w:spacing w:before="0" w:beforeAutospacing="0" w:after="0" w:afterAutospacing="0"/>
        <w:jc w:val="center"/>
        <w:rPr>
          <w:rFonts w:ascii="Arial" w:hAnsi="Arial" w:cs="Arial"/>
          <w:color w:val="000000"/>
          <w:sz w:val="28"/>
          <w:szCs w:val="28"/>
          <w:u w:val="single"/>
          <w:lang w:val="fr-FR"/>
        </w:rPr>
      </w:pPr>
    </w:p>
    <w:p w14:paraId="28243446" w14:textId="77777777" w:rsidR="009F2275" w:rsidRPr="00B93506" w:rsidRDefault="009F2275" w:rsidP="009F2275">
      <w:pPr>
        <w:spacing w:after="240"/>
        <w:rPr>
          <w:color w:val="000000"/>
          <w:lang w:val="fr-FR"/>
        </w:rPr>
      </w:pPr>
    </w:p>
    <w:p w14:paraId="2C348274" w14:textId="77777777" w:rsidR="009F2275" w:rsidRPr="009F2275" w:rsidRDefault="009F2275" w:rsidP="009F2275">
      <w:pPr>
        <w:rPr>
          <w:color w:val="000000"/>
          <w:lang w:val="fr-FR"/>
        </w:rPr>
      </w:pPr>
    </w:p>
    <w:p w14:paraId="41009B7B" w14:textId="77777777" w:rsidR="00110BE0" w:rsidRDefault="00110BE0" w:rsidP="00B77184">
      <w:pPr>
        <w:jc w:val="center"/>
        <w:rPr>
          <w:sz w:val="28"/>
          <w:szCs w:val="28"/>
          <w:u w:val="single"/>
          <w:lang w:val="fr-FR"/>
        </w:rPr>
      </w:pPr>
    </w:p>
    <w:p w14:paraId="09CF0F2C" w14:textId="77777777" w:rsidR="00E565D8" w:rsidRDefault="00E565D8" w:rsidP="00B77184">
      <w:pPr>
        <w:jc w:val="center"/>
        <w:rPr>
          <w:sz w:val="28"/>
          <w:szCs w:val="28"/>
          <w:u w:val="single"/>
          <w:lang w:val="fr-FR"/>
        </w:rPr>
      </w:pPr>
    </w:p>
    <w:p w14:paraId="55DEF9AD" w14:textId="77777777" w:rsidR="00D864B3" w:rsidRDefault="00D864B3" w:rsidP="00D864B3">
      <w:pPr>
        <w:rPr>
          <w:sz w:val="28"/>
          <w:szCs w:val="28"/>
          <w:u w:val="single"/>
          <w:lang w:val="fr-FR"/>
        </w:rPr>
      </w:pPr>
    </w:p>
    <w:p w14:paraId="31D80B7F" w14:textId="77777777" w:rsidR="00512C8D" w:rsidRDefault="00512C8D" w:rsidP="00B77184">
      <w:pPr>
        <w:jc w:val="center"/>
        <w:rPr>
          <w:sz w:val="28"/>
          <w:szCs w:val="28"/>
          <w:u w:val="single"/>
          <w:lang w:val="fr-FR"/>
        </w:rPr>
      </w:pPr>
    </w:p>
    <w:p w14:paraId="7C28FC5C" w14:textId="7D0374B5" w:rsidR="0034087A" w:rsidRDefault="0034087A" w:rsidP="00805837">
      <w:pPr>
        <w:jc w:val="both"/>
        <w:rPr>
          <w:sz w:val="28"/>
          <w:szCs w:val="28"/>
          <w:lang w:val="fr-FR"/>
        </w:rPr>
      </w:pPr>
      <w:r>
        <w:rPr>
          <w:sz w:val="28"/>
          <w:szCs w:val="28"/>
          <w:lang w:val="fr-FR"/>
        </w:rPr>
        <w:t xml:space="preserve"> </w:t>
      </w:r>
    </w:p>
    <w:p w14:paraId="6ED5244E" w14:textId="77777777" w:rsidR="002E4DBB" w:rsidRDefault="002E4DBB" w:rsidP="0034087A">
      <w:pPr>
        <w:jc w:val="both"/>
        <w:rPr>
          <w:sz w:val="28"/>
          <w:szCs w:val="28"/>
          <w:lang w:val="fr-FR"/>
        </w:rPr>
      </w:pPr>
    </w:p>
    <w:p w14:paraId="59495DE9" w14:textId="11878D1E" w:rsidR="002E4DBB" w:rsidRPr="0034087A" w:rsidRDefault="002E4DBB" w:rsidP="0034087A">
      <w:pPr>
        <w:jc w:val="both"/>
        <w:rPr>
          <w:sz w:val="28"/>
          <w:szCs w:val="28"/>
          <w:lang w:val="fr-FR"/>
        </w:rPr>
      </w:pPr>
    </w:p>
    <w:p w14:paraId="59A2527E" w14:textId="77777777" w:rsidR="00512C8D" w:rsidRDefault="00512C8D" w:rsidP="00B77184">
      <w:pPr>
        <w:jc w:val="center"/>
        <w:rPr>
          <w:sz w:val="28"/>
          <w:szCs w:val="28"/>
          <w:u w:val="single"/>
          <w:lang w:val="fr-FR"/>
        </w:rPr>
      </w:pPr>
    </w:p>
    <w:p w14:paraId="1038CBE9" w14:textId="77777777" w:rsidR="00512C8D" w:rsidRDefault="00512C8D" w:rsidP="00B77184">
      <w:pPr>
        <w:jc w:val="center"/>
        <w:rPr>
          <w:sz w:val="28"/>
          <w:szCs w:val="28"/>
          <w:u w:val="single"/>
          <w:lang w:val="fr-FR"/>
        </w:rPr>
      </w:pPr>
    </w:p>
    <w:p w14:paraId="6A04D91E" w14:textId="74BF4CE2" w:rsidR="0066394F" w:rsidRPr="00B77184" w:rsidRDefault="0066394F" w:rsidP="00B77184">
      <w:pPr>
        <w:jc w:val="center"/>
        <w:rPr>
          <w:sz w:val="28"/>
          <w:szCs w:val="28"/>
          <w:u w:val="single"/>
          <w:lang w:val="fr-FR"/>
        </w:rPr>
      </w:pPr>
    </w:p>
    <w:p w14:paraId="7A1D7EA6" w14:textId="6FC113BA" w:rsidR="009F2275" w:rsidRDefault="009F2275" w:rsidP="00685BCF">
      <w:pPr>
        <w:spacing w:after="240" w:line="360" w:lineRule="auto"/>
        <w:rPr>
          <w:rFonts w:eastAsia="Times New Roman" w:cstheme="minorHAnsi"/>
          <w:kern w:val="0"/>
          <w:lang w:val="fr-FR" w:eastAsia="en-GB"/>
          <w14:ligatures w14:val="none"/>
        </w:rPr>
      </w:pPr>
    </w:p>
    <w:p w14:paraId="2C7F68A5" w14:textId="77777777" w:rsidR="00C13026" w:rsidRDefault="00C13026" w:rsidP="00685BCF">
      <w:pPr>
        <w:spacing w:after="240" w:line="360" w:lineRule="auto"/>
        <w:rPr>
          <w:rFonts w:eastAsia="Times New Roman" w:cstheme="minorHAnsi"/>
          <w:kern w:val="0"/>
          <w:lang w:val="fr-FR" w:eastAsia="en-GB"/>
          <w14:ligatures w14:val="none"/>
        </w:rPr>
      </w:pPr>
    </w:p>
    <w:p w14:paraId="43599BBF" w14:textId="17BACFB7" w:rsidR="00E565D8" w:rsidRDefault="00E565D8" w:rsidP="00685BCF">
      <w:pPr>
        <w:spacing w:after="240" w:line="360" w:lineRule="auto"/>
        <w:rPr>
          <w:rFonts w:eastAsia="Times New Roman" w:cstheme="minorHAnsi"/>
          <w:kern w:val="0"/>
          <w:lang w:val="fr-FR" w:eastAsia="en-GB"/>
          <w14:ligatures w14:val="none"/>
        </w:rPr>
      </w:pPr>
    </w:p>
    <w:p w14:paraId="1ED94E5B" w14:textId="42C6A585" w:rsidR="00C13026" w:rsidRPr="00685BCF" w:rsidRDefault="00C13026" w:rsidP="00685BCF">
      <w:pPr>
        <w:spacing w:after="240" w:line="360" w:lineRule="auto"/>
        <w:rPr>
          <w:rFonts w:eastAsia="Times New Roman" w:cstheme="minorHAnsi"/>
          <w:kern w:val="0"/>
          <w:lang w:val="fr-FR" w:eastAsia="en-GB"/>
          <w14:ligatures w14:val="none"/>
        </w:rPr>
      </w:pPr>
    </w:p>
    <w:p w14:paraId="77F824E4" w14:textId="77777777" w:rsidR="00685BCF" w:rsidRPr="00685BCF" w:rsidRDefault="00685BCF" w:rsidP="00685BCF">
      <w:pPr>
        <w:rPr>
          <w:rFonts w:ascii="Times New Roman" w:eastAsia="Times New Roman" w:hAnsi="Times New Roman" w:cs="Times New Roman"/>
          <w:kern w:val="0"/>
          <w:lang w:val="fr-FR" w:eastAsia="en-GB"/>
          <w14:ligatures w14:val="none"/>
        </w:rPr>
      </w:pPr>
    </w:p>
    <w:p w14:paraId="06853777" w14:textId="77777777" w:rsidR="00685BCF" w:rsidRPr="00685BCF" w:rsidRDefault="00685BCF" w:rsidP="00685BCF">
      <w:pPr>
        <w:pStyle w:val="NormalWeb"/>
        <w:spacing w:before="0" w:beforeAutospacing="0" w:after="0" w:afterAutospacing="0"/>
        <w:jc w:val="both"/>
        <w:rPr>
          <w:color w:val="000000"/>
          <w:lang w:val="fr-FR"/>
        </w:rPr>
      </w:pPr>
    </w:p>
    <w:p w14:paraId="6D033081" w14:textId="77777777" w:rsidR="00685BCF" w:rsidRPr="00685BCF" w:rsidRDefault="00685BCF" w:rsidP="00685BCF">
      <w:pPr>
        <w:spacing w:after="240"/>
        <w:rPr>
          <w:rFonts w:ascii="Times New Roman" w:eastAsia="Times New Roman" w:hAnsi="Times New Roman" w:cs="Times New Roman"/>
          <w:kern w:val="0"/>
          <w:lang w:val="fr-FR" w:eastAsia="en-GB"/>
          <w14:ligatures w14:val="none"/>
        </w:rPr>
      </w:pPr>
    </w:p>
    <w:p w14:paraId="2E68B016" w14:textId="77777777" w:rsidR="00685BCF" w:rsidRPr="00685BCF" w:rsidRDefault="00685BCF" w:rsidP="00685BCF">
      <w:pPr>
        <w:rPr>
          <w:rFonts w:ascii="Times New Roman" w:eastAsia="Times New Roman" w:hAnsi="Times New Roman" w:cs="Times New Roman"/>
          <w:kern w:val="0"/>
          <w:lang w:val="fr-FR" w:eastAsia="en-GB"/>
          <w14:ligatures w14:val="none"/>
        </w:rPr>
      </w:pPr>
    </w:p>
    <w:p w14:paraId="63CA7520" w14:textId="01381323" w:rsidR="00EB5037" w:rsidRDefault="00EB5037" w:rsidP="004E333C">
      <w:pPr>
        <w:jc w:val="both"/>
        <w:rPr>
          <w:lang w:val="fr-CA"/>
        </w:rPr>
      </w:pPr>
    </w:p>
    <w:p w14:paraId="1740C8EC" w14:textId="05068A7B" w:rsidR="004E333C" w:rsidRPr="004E333C" w:rsidRDefault="004E333C" w:rsidP="004E333C">
      <w:pPr>
        <w:jc w:val="both"/>
        <w:rPr>
          <w:lang w:val="fr-CA"/>
        </w:rPr>
      </w:pPr>
      <w:r>
        <w:rPr>
          <w:lang w:val="fr-CA"/>
        </w:rPr>
        <w:t xml:space="preserve"> </w:t>
      </w:r>
    </w:p>
    <w:sectPr w:rsidR="004E333C" w:rsidRPr="004E333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8A85" w14:textId="77777777" w:rsidR="004B6B75" w:rsidRDefault="004B6B75" w:rsidP="00D30E42">
      <w:r>
        <w:separator/>
      </w:r>
    </w:p>
  </w:endnote>
  <w:endnote w:type="continuationSeparator" w:id="0">
    <w:p w14:paraId="0880BB55" w14:textId="77777777" w:rsidR="004B6B75" w:rsidRDefault="004B6B75" w:rsidP="00D3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065919"/>
      <w:docPartObj>
        <w:docPartGallery w:val="Page Numbers (Bottom of Page)"/>
        <w:docPartUnique/>
      </w:docPartObj>
    </w:sdtPr>
    <w:sdtContent>
      <w:p w14:paraId="3A5005B9" w14:textId="1625D1E8" w:rsidR="00455669" w:rsidRDefault="00455669" w:rsidP="00A168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D29FF9" w14:textId="77777777" w:rsidR="00455669" w:rsidRDefault="00455669" w:rsidP="00455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923427"/>
      <w:docPartObj>
        <w:docPartGallery w:val="Page Numbers (Bottom of Page)"/>
        <w:docPartUnique/>
      </w:docPartObj>
    </w:sdtPr>
    <w:sdtContent>
      <w:p w14:paraId="34AF4D93" w14:textId="7AA68F07" w:rsidR="00455669" w:rsidRDefault="00455669" w:rsidP="00A168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57A705" w14:textId="77777777" w:rsidR="00455669" w:rsidRDefault="00455669" w:rsidP="004556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6DAE" w14:textId="77777777" w:rsidR="004B6B75" w:rsidRDefault="004B6B75" w:rsidP="00D30E42">
      <w:r>
        <w:separator/>
      </w:r>
    </w:p>
  </w:footnote>
  <w:footnote w:type="continuationSeparator" w:id="0">
    <w:p w14:paraId="04C6ECB5" w14:textId="77777777" w:rsidR="004B6B75" w:rsidRDefault="004B6B75" w:rsidP="00D30E42">
      <w:r>
        <w:continuationSeparator/>
      </w:r>
    </w:p>
  </w:footnote>
  <w:footnote w:id="1">
    <w:p w14:paraId="77040311" w14:textId="4317BED3" w:rsidR="00D133CC" w:rsidRPr="00D133CC" w:rsidRDefault="00D133CC" w:rsidP="0039017B">
      <w:pPr>
        <w:pStyle w:val="FootnoteText"/>
        <w:jc w:val="both"/>
        <w:rPr>
          <w:lang w:val="fr-FR"/>
        </w:rPr>
      </w:pPr>
      <w:r>
        <w:rPr>
          <w:rStyle w:val="FootnoteReference"/>
        </w:rPr>
        <w:footnoteRef/>
      </w:r>
      <w:r w:rsidRPr="00D133CC">
        <w:rPr>
          <w:lang w:val="fr-FR"/>
        </w:rPr>
        <w:t xml:space="preserve"> </w:t>
      </w:r>
      <w:r>
        <w:rPr>
          <w:lang w:val="fr-FR"/>
        </w:rPr>
        <w:t>Commissions des institutions, «</w:t>
      </w:r>
      <w:r w:rsidRPr="00D133CC">
        <w:rPr>
          <w:i/>
          <w:iCs/>
          <w:lang w:val="fr-FR"/>
        </w:rPr>
        <w:t xml:space="preserve"> Consultations Particulières Concernant de Loi 14 Modifiant Diverses disposition relatives à la sécurité publique et édictant la Loi visant à aider à retrouver des personnes </w:t>
      </w:r>
      <w:r w:rsidR="009466B4" w:rsidRPr="00D133CC">
        <w:rPr>
          <w:i/>
          <w:iCs/>
          <w:lang w:val="fr-FR"/>
        </w:rPr>
        <w:t>disparues</w:t>
      </w:r>
      <w:r w:rsidR="009466B4">
        <w:rPr>
          <w:i/>
          <w:iCs/>
          <w:lang w:val="fr-FR"/>
        </w:rPr>
        <w:t xml:space="preserve"> »</w:t>
      </w:r>
      <w:r w:rsidRPr="00D133CC">
        <w:rPr>
          <w:i/>
          <w:iCs/>
          <w:lang w:val="fr-FR"/>
        </w:rPr>
        <w:t>,</w:t>
      </w:r>
      <w:r>
        <w:rPr>
          <w:lang w:val="fr-FR"/>
        </w:rPr>
        <w:t xml:space="preserve"> P.7</w:t>
      </w:r>
    </w:p>
  </w:footnote>
  <w:footnote w:id="2">
    <w:p w14:paraId="7BB247FD" w14:textId="38390ED9" w:rsidR="00D123C3" w:rsidRPr="00D123C3" w:rsidRDefault="00D123C3" w:rsidP="0039017B">
      <w:pPr>
        <w:pStyle w:val="FootnoteText"/>
        <w:jc w:val="both"/>
        <w:rPr>
          <w:lang w:val="fr-FR"/>
        </w:rPr>
      </w:pPr>
      <w:r>
        <w:rPr>
          <w:rStyle w:val="FootnoteReference"/>
        </w:rPr>
        <w:footnoteRef/>
      </w:r>
      <w:r w:rsidRPr="00D123C3">
        <w:rPr>
          <w:lang w:val="fr-FR"/>
        </w:rPr>
        <w:t xml:space="preserve"> </w:t>
      </w:r>
      <w:r>
        <w:rPr>
          <w:lang w:val="fr-FR"/>
        </w:rPr>
        <w:t>Commissions des institutions, «</w:t>
      </w:r>
      <w:r w:rsidRPr="00D133CC">
        <w:rPr>
          <w:i/>
          <w:iCs/>
          <w:lang w:val="fr-FR"/>
        </w:rPr>
        <w:t xml:space="preserve"> Consultations Particulières Concernant de Loi 14 Modifiant Diverses disposition relatives à la sécurité publique et édictant la Loi visant à aider à retrouver des personnes disparues</w:t>
      </w:r>
      <w:r>
        <w:rPr>
          <w:i/>
          <w:iCs/>
          <w:lang w:val="fr-FR"/>
        </w:rPr>
        <w:t xml:space="preserve"> »</w:t>
      </w:r>
      <w:r w:rsidRPr="00D133CC">
        <w:rPr>
          <w:i/>
          <w:iCs/>
          <w:lang w:val="fr-FR"/>
        </w:rPr>
        <w:t>,</w:t>
      </w:r>
      <w:r>
        <w:rPr>
          <w:lang w:val="fr-FR"/>
        </w:rPr>
        <w:t xml:space="preserve"> P.7-8 </w:t>
      </w:r>
    </w:p>
  </w:footnote>
  <w:footnote w:id="3">
    <w:p w14:paraId="6E6F6195" w14:textId="02B351E3" w:rsidR="0058684E" w:rsidRPr="0058684E" w:rsidRDefault="0058684E" w:rsidP="0039017B">
      <w:pPr>
        <w:pStyle w:val="FootnoteText"/>
        <w:jc w:val="both"/>
        <w:rPr>
          <w:lang w:val="fr-FR"/>
        </w:rPr>
      </w:pPr>
      <w:r>
        <w:rPr>
          <w:rStyle w:val="FootnoteReference"/>
        </w:rPr>
        <w:footnoteRef/>
      </w:r>
      <w:r w:rsidRPr="0058684E">
        <w:rPr>
          <w:lang w:val="fr-FR"/>
        </w:rPr>
        <w:t xml:space="preserve"> </w:t>
      </w:r>
      <w:r>
        <w:rPr>
          <w:lang w:val="fr-FR"/>
        </w:rPr>
        <w:t xml:space="preserve">Loi sur la police, Section II, Article 128, accessible à : </w:t>
      </w:r>
      <w:hyperlink r:id="rId1" w:history="1">
        <w:r w:rsidRPr="00A168A5">
          <w:rPr>
            <w:rStyle w:val="Hyperlink"/>
            <w:lang w:val="fr-FR"/>
          </w:rPr>
          <w:t>https://www.legisquebec.gouv.qc.ca/fr/document/lc/p-13.1</w:t>
        </w:r>
      </w:hyperlink>
      <w:r>
        <w:rPr>
          <w:lang w:val="fr-FR"/>
        </w:rPr>
        <w:t xml:space="preserve"> </w:t>
      </w:r>
    </w:p>
  </w:footnote>
  <w:footnote w:id="4">
    <w:p w14:paraId="272E7F76" w14:textId="2CB87F81" w:rsidR="00C027F1" w:rsidRPr="00C027F1" w:rsidRDefault="00C027F1">
      <w:pPr>
        <w:pStyle w:val="FootnoteText"/>
        <w:rPr>
          <w:lang w:val="fr-FR"/>
        </w:rPr>
      </w:pPr>
      <w:r>
        <w:rPr>
          <w:rStyle w:val="FootnoteReference"/>
        </w:rPr>
        <w:footnoteRef/>
      </w:r>
      <w:r w:rsidRPr="00C027F1">
        <w:rPr>
          <w:lang w:val="fr-FR"/>
        </w:rPr>
        <w:t xml:space="preserve"> </w:t>
      </w:r>
      <w:r w:rsidRPr="00D30E42">
        <w:rPr>
          <w:lang w:val="fr-FR"/>
        </w:rPr>
        <w:t xml:space="preserve">Commissaire </w:t>
      </w:r>
      <w:r>
        <w:rPr>
          <w:lang w:val="fr-FR"/>
        </w:rPr>
        <w:t xml:space="preserve">à la Déontologie Policière, Rapport Annuel 2021-2022, Accessible à : </w:t>
      </w:r>
      <w:hyperlink r:id="rId2" w:history="1">
        <w:r w:rsidRPr="00A02306">
          <w:rPr>
            <w:rStyle w:val="Hyperlink"/>
            <w:rFonts w:ascii="Arial" w:hAnsi="Arial" w:cs="Arial"/>
            <w:lang w:val="fr-FR"/>
          </w:rPr>
          <w:t>https://deontologie-policiere.gouv.qc.ca/fileadmin/contenu/publications/RAG_2021_2022_COMDP_VF_20221031.pdf</w:t>
        </w:r>
      </w:hyperlink>
      <w:r>
        <w:rPr>
          <w:rFonts w:ascii="Arial" w:hAnsi="Arial" w:cs="Arial"/>
          <w:color w:val="000000"/>
          <w:lang w:val="fr-FR"/>
        </w:rPr>
        <w:t>, P.13</w:t>
      </w:r>
    </w:p>
  </w:footnote>
  <w:footnote w:id="5">
    <w:p w14:paraId="7C3CD75F" w14:textId="0AC6BBD9" w:rsidR="0041270A" w:rsidRPr="0041270A" w:rsidRDefault="0041270A" w:rsidP="0039017B">
      <w:pPr>
        <w:pStyle w:val="FootnoteText"/>
        <w:jc w:val="both"/>
        <w:rPr>
          <w:lang w:val="fr-FR"/>
        </w:rPr>
      </w:pPr>
      <w:r>
        <w:rPr>
          <w:rStyle w:val="FootnoteReference"/>
        </w:rPr>
        <w:footnoteRef/>
      </w:r>
      <w:r w:rsidRPr="0041270A">
        <w:rPr>
          <w:lang w:val="fr-FR"/>
        </w:rPr>
        <w:t xml:space="preserve"> </w:t>
      </w:r>
      <w:r w:rsidRPr="00D30E42">
        <w:rPr>
          <w:lang w:val="fr-FR"/>
        </w:rPr>
        <w:t xml:space="preserve">Commissaire </w:t>
      </w:r>
      <w:r>
        <w:rPr>
          <w:lang w:val="fr-FR"/>
        </w:rPr>
        <w:t xml:space="preserve">à la Déontologie Policière, Rapport Annuel 2021-2022, Accessible à : </w:t>
      </w:r>
      <w:hyperlink r:id="rId3" w:history="1">
        <w:r w:rsidRPr="00A02306">
          <w:rPr>
            <w:rStyle w:val="Hyperlink"/>
            <w:rFonts w:ascii="Arial" w:hAnsi="Arial" w:cs="Arial"/>
            <w:lang w:val="fr-FR"/>
          </w:rPr>
          <w:t>https://deontologie-policiere.gouv.qc.ca/fileadmin/contenu/publications/RAG_2021_2022_COMDP_VF_20221031.pdf</w:t>
        </w:r>
      </w:hyperlink>
      <w:r>
        <w:rPr>
          <w:rFonts w:ascii="Arial" w:hAnsi="Arial" w:cs="Arial"/>
          <w:color w:val="000000"/>
          <w:lang w:val="fr-FR"/>
        </w:rPr>
        <w:t>, P.37</w:t>
      </w:r>
    </w:p>
  </w:footnote>
  <w:footnote w:id="6">
    <w:p w14:paraId="4E365C80" w14:textId="71C1E027" w:rsidR="003C4A83" w:rsidRPr="003C4A83" w:rsidRDefault="003C4A83" w:rsidP="0039017B">
      <w:pPr>
        <w:pStyle w:val="FootnoteText"/>
        <w:jc w:val="both"/>
        <w:rPr>
          <w:lang w:val="fr-FR"/>
        </w:rPr>
      </w:pPr>
      <w:r>
        <w:rPr>
          <w:rStyle w:val="FootnoteReference"/>
        </w:rPr>
        <w:footnoteRef/>
      </w:r>
      <w:r w:rsidRPr="003C4A83">
        <w:rPr>
          <w:lang w:val="fr-FR"/>
        </w:rPr>
        <w:t xml:space="preserve"> </w:t>
      </w:r>
      <w:r>
        <w:rPr>
          <w:lang w:val="fr-FR"/>
        </w:rPr>
        <w:t xml:space="preserve">L’article 50, du Projet de Loi 14 dispose ce qui suit : L’intitulé de la section III du chapitre I de cette loi est modifié par le remplacement de « Comité » par « Tribunal Administratif ». </w:t>
      </w:r>
      <w:r w:rsidR="00692264">
        <w:rPr>
          <w:lang w:val="fr-FR"/>
        </w:rPr>
        <w:t xml:space="preserve"> Conséquemment, une fois le PL14 en place, le Comité de déontologie policière changera de nom pour s’appeler le Tribunal administratif de déontologie policière. </w:t>
      </w:r>
    </w:p>
  </w:footnote>
  <w:footnote w:id="7">
    <w:p w14:paraId="20DC3F00" w14:textId="40443E5B" w:rsidR="005F711E" w:rsidRPr="005F711E" w:rsidRDefault="005F711E" w:rsidP="0039017B">
      <w:pPr>
        <w:pStyle w:val="FootnoteText"/>
        <w:jc w:val="both"/>
        <w:rPr>
          <w:lang w:val="fr-FR"/>
        </w:rPr>
      </w:pPr>
      <w:r>
        <w:rPr>
          <w:rStyle w:val="FootnoteReference"/>
        </w:rPr>
        <w:footnoteRef/>
      </w:r>
      <w:r w:rsidRPr="00D30E42">
        <w:rPr>
          <w:lang w:val="fr-FR"/>
        </w:rPr>
        <w:t xml:space="preserve">Commissaire </w:t>
      </w:r>
      <w:r>
        <w:rPr>
          <w:lang w:val="fr-FR"/>
        </w:rPr>
        <w:t xml:space="preserve">à la Déontologie Policière, Rapport Annuel 2021-2022, Accessible à : </w:t>
      </w:r>
      <w:hyperlink r:id="rId4" w:history="1">
        <w:r w:rsidRPr="00A02306">
          <w:rPr>
            <w:rStyle w:val="Hyperlink"/>
            <w:rFonts w:ascii="Arial" w:hAnsi="Arial" w:cs="Arial"/>
            <w:lang w:val="fr-FR"/>
          </w:rPr>
          <w:t>https://deontologie-policiere.gouv.qc.ca/fileadmin/contenu/publications/RAG_2021_2022_COMDP_VF_20221031.pdf</w:t>
        </w:r>
      </w:hyperlink>
      <w:r>
        <w:rPr>
          <w:rFonts w:ascii="Arial" w:hAnsi="Arial" w:cs="Arial"/>
          <w:color w:val="000000"/>
          <w:lang w:val="fr-FR"/>
        </w:rPr>
        <w:t>, P.13</w:t>
      </w:r>
    </w:p>
  </w:footnote>
  <w:footnote w:id="8">
    <w:p w14:paraId="7D205FA9" w14:textId="287041D3" w:rsidR="005F711E" w:rsidRPr="005F711E" w:rsidRDefault="005F711E" w:rsidP="0039017B">
      <w:pPr>
        <w:jc w:val="both"/>
        <w:rPr>
          <w:sz w:val="20"/>
          <w:szCs w:val="20"/>
          <w:lang w:val="fr-FR"/>
        </w:rPr>
      </w:pPr>
      <w:r w:rsidRPr="005F711E">
        <w:rPr>
          <w:rStyle w:val="FootnoteReference"/>
          <w:sz w:val="20"/>
          <w:szCs w:val="20"/>
        </w:rPr>
        <w:footnoteRef/>
      </w:r>
      <w:r w:rsidRPr="005F711E">
        <w:rPr>
          <w:sz w:val="20"/>
          <w:szCs w:val="20"/>
          <w:lang w:val="fr-FR"/>
        </w:rPr>
        <w:t xml:space="preserve"> </w:t>
      </w:r>
      <w:r w:rsidR="00F13174">
        <w:rPr>
          <w:sz w:val="20"/>
          <w:szCs w:val="20"/>
          <w:lang w:val="fr-FR"/>
        </w:rPr>
        <w:t>Loi sur la police, Article 178</w:t>
      </w:r>
    </w:p>
  </w:footnote>
  <w:footnote w:id="9">
    <w:p w14:paraId="2F789C7F" w14:textId="680976D5" w:rsidR="00F50FA9" w:rsidRPr="00F50FA9" w:rsidRDefault="00F50FA9" w:rsidP="0039017B">
      <w:pPr>
        <w:pStyle w:val="FootnoteText"/>
        <w:jc w:val="both"/>
        <w:rPr>
          <w:lang w:val="fr-FR"/>
        </w:rPr>
      </w:pPr>
      <w:r>
        <w:rPr>
          <w:rStyle w:val="FootnoteReference"/>
        </w:rPr>
        <w:footnoteRef/>
      </w:r>
      <w:r w:rsidR="00F13174">
        <w:rPr>
          <w:lang w:val="fr-FR"/>
        </w:rPr>
        <w:t xml:space="preserve"> Cette information est accessible au :</w:t>
      </w:r>
      <w:r w:rsidRPr="00F50FA9">
        <w:rPr>
          <w:lang w:val="fr-FR"/>
        </w:rPr>
        <w:t xml:space="preserve"> </w:t>
      </w:r>
      <w:hyperlink r:id="rId5" w:history="1">
        <w:r w:rsidRPr="00A168A5">
          <w:rPr>
            <w:rStyle w:val="Hyperlink"/>
            <w:lang w:val="fr-FR"/>
          </w:rPr>
          <w:t>https://deontologie-policiere.gouv.qc.ca</w:t>
        </w:r>
      </w:hyperlink>
      <w:r>
        <w:rPr>
          <w:lang w:val="fr-FR"/>
        </w:rPr>
        <w:t xml:space="preserve"> </w:t>
      </w:r>
    </w:p>
  </w:footnote>
  <w:footnote w:id="10">
    <w:p w14:paraId="70B1110D" w14:textId="25356B0E" w:rsidR="00F50FA9" w:rsidRPr="00F50FA9" w:rsidRDefault="00F50FA9" w:rsidP="0039017B">
      <w:pPr>
        <w:pStyle w:val="FootnoteText"/>
        <w:jc w:val="both"/>
        <w:rPr>
          <w:lang w:val="fr-FR"/>
        </w:rPr>
      </w:pPr>
      <w:r>
        <w:rPr>
          <w:rStyle w:val="FootnoteReference"/>
        </w:rPr>
        <w:footnoteRef/>
      </w:r>
      <w:r w:rsidRPr="00F50FA9">
        <w:rPr>
          <w:lang w:val="fr-FR"/>
        </w:rPr>
        <w:t xml:space="preserve"> </w:t>
      </w:r>
      <w:r w:rsidR="00F13174">
        <w:rPr>
          <w:rFonts w:cs="Times New Roman (Body CS)"/>
          <w:lang w:val="fr-FR"/>
        </w:rPr>
        <w:t xml:space="preserve">Cette information est accessible dans la FAQ sur le site du Commissaire, En voici le lien : </w:t>
      </w:r>
      <w:hyperlink r:id="rId6" w:history="1">
        <w:r w:rsidR="00F13174" w:rsidRPr="00F13174">
          <w:rPr>
            <w:rStyle w:val="Hyperlink"/>
            <w:rFonts w:cs="Times New Roman (Body CS)"/>
            <w:lang w:val="fr-FR"/>
          </w:rPr>
          <w:t>https://deontologie-policiere.gouv.qc.ca/faq?fbclid=IwAR25-5KNAUCdRE_A15NvAiRFZecoJ0Z5Qdi_hCrhpi7qu6jezg1q_tBizys</w:t>
        </w:r>
      </w:hyperlink>
    </w:p>
  </w:footnote>
  <w:footnote w:id="11">
    <w:p w14:paraId="69441996" w14:textId="5A90D575" w:rsidR="004579BF" w:rsidRPr="004579BF" w:rsidRDefault="004579BF" w:rsidP="0039017B">
      <w:pPr>
        <w:pStyle w:val="FootnoteText"/>
        <w:jc w:val="both"/>
        <w:rPr>
          <w:rFonts w:ascii="Arial" w:hAnsi="Arial" w:cs="Arial"/>
          <w:color w:val="1155CC"/>
          <w:u w:val="single"/>
          <w:lang w:val="fr-FR"/>
        </w:rPr>
      </w:pPr>
      <w:r>
        <w:rPr>
          <w:rStyle w:val="FootnoteReference"/>
        </w:rPr>
        <w:footnoteRef/>
      </w:r>
      <w:r w:rsidRPr="004579BF">
        <w:rPr>
          <w:lang w:val="fr-FR"/>
        </w:rPr>
        <w:t xml:space="preserve"> </w:t>
      </w:r>
      <w:r w:rsidR="0039017B">
        <w:rPr>
          <w:lang w:val="fr-FR"/>
        </w:rPr>
        <w:t>Cela ne vaut pas la peine de comparer le système avec celui du Québec, puisqu’en surface les statistiques semblent similaires et que la terminologie, la différence de fonctionnement ainsi que la différence démographique rendrait la tache extrêmement complexe, pour un résultat probablement décevant. Cependant, leur</w:t>
      </w:r>
      <w:r>
        <w:rPr>
          <w:lang w:val="fr-CA"/>
        </w:rPr>
        <w:t xml:space="preserve"> plus récent rapport est accessible à : </w:t>
      </w:r>
      <w:hyperlink r:id="rId7" w:history="1">
        <w:r w:rsidRPr="004579BF">
          <w:rPr>
            <w:rStyle w:val="Hyperlink"/>
            <w:rFonts w:ascii="Arial" w:hAnsi="Arial" w:cs="Arial"/>
            <w:color w:val="1155CC"/>
            <w:lang w:val="fr-FR"/>
          </w:rPr>
          <w:t>https://opcc.bc.ca/wp-content/uploads/2023/01/OPCC_2021-22_Annual-Report_8331_FINAL_online_.pdf</w:t>
        </w:r>
      </w:hyperlink>
      <w:r>
        <w:rPr>
          <w:rStyle w:val="Hyperlink"/>
          <w:rFonts w:ascii="Arial" w:hAnsi="Arial" w:cs="Arial"/>
          <w:color w:val="1155CC"/>
          <w:lang w:val="fr-FR"/>
        </w:rPr>
        <w:t xml:space="preserve"> </w:t>
      </w:r>
    </w:p>
  </w:footnote>
  <w:footnote w:id="12">
    <w:p w14:paraId="11647BB8" w14:textId="4D0AA76F" w:rsidR="0039017B" w:rsidRPr="0039017B" w:rsidRDefault="0039017B" w:rsidP="0039017B">
      <w:pPr>
        <w:pStyle w:val="NormalWeb"/>
        <w:spacing w:before="0" w:beforeAutospacing="0" w:after="0" w:afterAutospacing="0"/>
        <w:jc w:val="both"/>
        <w:rPr>
          <w:rFonts w:ascii="Arial" w:hAnsi="Arial" w:cs="Arial"/>
          <w:color w:val="1155CC"/>
          <w:sz w:val="20"/>
          <w:szCs w:val="20"/>
          <w:u w:val="single"/>
        </w:rPr>
      </w:pPr>
      <w:r>
        <w:rPr>
          <w:rStyle w:val="FootnoteReference"/>
        </w:rPr>
        <w:footnoteRef/>
      </w:r>
      <w:r>
        <w:t xml:space="preserve"> </w:t>
      </w:r>
      <w:r w:rsidRPr="0039017B">
        <w:rPr>
          <w:rFonts w:ascii="Arial" w:hAnsi="Arial" w:cs="Arial"/>
          <w:i/>
          <w:iCs/>
          <w:color w:val="000000"/>
          <w:sz w:val="20"/>
          <w:szCs w:val="20"/>
        </w:rPr>
        <w:t>Office of the independent Police Review Directo</w:t>
      </w:r>
      <w:r>
        <w:rPr>
          <w:rFonts w:ascii="Arial" w:hAnsi="Arial" w:cs="Arial"/>
          <w:i/>
          <w:iCs/>
          <w:color w:val="000000"/>
          <w:sz w:val="20"/>
          <w:szCs w:val="20"/>
        </w:rPr>
        <w:t xml:space="preserve">r, </w:t>
      </w:r>
      <w:r>
        <w:rPr>
          <w:rFonts w:ascii="Arial" w:hAnsi="Arial" w:cs="Arial"/>
          <w:color w:val="000000"/>
          <w:sz w:val="20"/>
          <w:szCs w:val="20"/>
        </w:rPr>
        <w:t xml:space="preserve">Annual Report, P.8, Accessible at: </w:t>
      </w:r>
      <w:r w:rsidRPr="0039017B">
        <w:rPr>
          <w:rFonts w:ascii="Arial" w:hAnsi="Arial" w:cs="Arial"/>
          <w:color w:val="000000"/>
          <w:sz w:val="20"/>
          <w:szCs w:val="20"/>
        </w:rPr>
        <w:t xml:space="preserve"> </w:t>
      </w:r>
      <w:hyperlink r:id="rId8" w:history="1">
        <w:r w:rsidRPr="0039017B">
          <w:rPr>
            <w:rStyle w:val="Hyperlink"/>
            <w:rFonts w:ascii="Arial" w:hAnsi="Arial" w:cs="Arial"/>
            <w:color w:val="1155CC"/>
            <w:sz w:val="20"/>
            <w:szCs w:val="20"/>
          </w:rPr>
          <w:t>https://www.oiprd.on.ca/wp-content/uploads/OIPRD-2021-  22-Annual-Report-English.pdf</w:t>
        </w:r>
      </w:hyperlink>
      <w:r>
        <w:rPr>
          <w:rStyle w:val="Hyperlink"/>
          <w:rFonts w:ascii="Arial" w:hAnsi="Arial" w:cs="Arial"/>
          <w:color w:val="1155CC"/>
          <w:sz w:val="20"/>
          <w:szCs w:val="20"/>
        </w:rPr>
        <w:t xml:space="preserve"> </w:t>
      </w:r>
    </w:p>
  </w:footnote>
  <w:footnote w:id="13">
    <w:p w14:paraId="62B27761" w14:textId="7BC2B683" w:rsidR="0039017B" w:rsidRPr="0039017B" w:rsidRDefault="0039017B" w:rsidP="0039017B">
      <w:pPr>
        <w:pStyle w:val="NormalWeb"/>
        <w:spacing w:before="0" w:beforeAutospacing="0" w:after="0" w:afterAutospacing="0"/>
        <w:jc w:val="both"/>
        <w:rPr>
          <w:rFonts w:ascii="Arial" w:hAnsi="Arial" w:cs="Arial"/>
          <w:color w:val="1155CC"/>
          <w:sz w:val="20"/>
          <w:szCs w:val="20"/>
          <w:u w:val="single"/>
        </w:rPr>
      </w:pPr>
      <w:r>
        <w:rPr>
          <w:rStyle w:val="FootnoteReference"/>
        </w:rPr>
        <w:footnoteRef/>
      </w:r>
      <w:r>
        <w:t xml:space="preserve"> </w:t>
      </w:r>
      <w:r w:rsidRPr="0039017B">
        <w:rPr>
          <w:rFonts w:ascii="Arial" w:hAnsi="Arial" w:cs="Arial"/>
          <w:i/>
          <w:iCs/>
          <w:color w:val="000000"/>
          <w:sz w:val="20"/>
          <w:szCs w:val="20"/>
        </w:rPr>
        <w:t>Office of the independent Police Review Directo</w:t>
      </w:r>
      <w:r>
        <w:rPr>
          <w:rFonts w:ascii="Arial" w:hAnsi="Arial" w:cs="Arial"/>
          <w:i/>
          <w:iCs/>
          <w:color w:val="000000"/>
          <w:sz w:val="20"/>
          <w:szCs w:val="20"/>
        </w:rPr>
        <w:t xml:space="preserve">r, </w:t>
      </w:r>
      <w:r>
        <w:rPr>
          <w:rFonts w:ascii="Arial" w:hAnsi="Arial" w:cs="Arial"/>
          <w:color w:val="000000"/>
          <w:sz w:val="20"/>
          <w:szCs w:val="20"/>
        </w:rPr>
        <w:t xml:space="preserve">Annual Report, P.16, Accessible at: </w:t>
      </w:r>
      <w:r w:rsidRPr="0039017B">
        <w:rPr>
          <w:rFonts w:ascii="Arial" w:hAnsi="Arial" w:cs="Arial"/>
          <w:color w:val="000000"/>
          <w:sz w:val="20"/>
          <w:szCs w:val="20"/>
        </w:rPr>
        <w:t xml:space="preserve"> </w:t>
      </w:r>
      <w:hyperlink r:id="rId9" w:history="1">
        <w:r w:rsidRPr="0039017B">
          <w:rPr>
            <w:rStyle w:val="Hyperlink"/>
            <w:rFonts w:ascii="Arial" w:hAnsi="Arial" w:cs="Arial"/>
            <w:color w:val="1155CC"/>
            <w:sz w:val="20"/>
            <w:szCs w:val="20"/>
          </w:rPr>
          <w:t>https://www.oiprd.on.ca/wp-content/uploads/OIPRD-2021-  22-Annual-Report-English.pdf</w:t>
        </w:r>
      </w:hyperlink>
      <w:r>
        <w:rPr>
          <w:rStyle w:val="Hyperlink"/>
          <w:rFonts w:ascii="Arial" w:hAnsi="Arial" w:cs="Arial"/>
          <w:color w:val="1155CC"/>
          <w:sz w:val="20"/>
          <w:szCs w:val="20"/>
        </w:rPr>
        <w:t xml:space="preserve"> </w:t>
      </w:r>
    </w:p>
  </w:footnote>
  <w:footnote w:id="14">
    <w:p w14:paraId="69226A86" w14:textId="451031BD" w:rsidR="0039017B" w:rsidRPr="003A615F" w:rsidRDefault="0039017B" w:rsidP="003A615F">
      <w:pPr>
        <w:pStyle w:val="NormalWeb"/>
        <w:spacing w:before="0" w:beforeAutospacing="0" w:after="0" w:afterAutospacing="0"/>
        <w:jc w:val="both"/>
        <w:rPr>
          <w:rFonts w:ascii="Arial" w:hAnsi="Arial" w:cs="Arial"/>
          <w:color w:val="1155CC"/>
          <w:sz w:val="20"/>
          <w:szCs w:val="20"/>
          <w:u w:val="single"/>
        </w:rPr>
      </w:pPr>
      <w:r>
        <w:rPr>
          <w:rStyle w:val="FootnoteReference"/>
        </w:rPr>
        <w:footnoteRef/>
      </w:r>
      <w:r>
        <w:t xml:space="preserve"> </w:t>
      </w:r>
      <w:r w:rsidRPr="0039017B">
        <w:rPr>
          <w:rFonts w:ascii="Arial" w:hAnsi="Arial" w:cs="Arial"/>
          <w:i/>
          <w:iCs/>
          <w:color w:val="000000"/>
          <w:sz w:val="20"/>
          <w:szCs w:val="20"/>
        </w:rPr>
        <w:t>Office of the independent Police Review Directo</w:t>
      </w:r>
      <w:r>
        <w:rPr>
          <w:rFonts w:ascii="Arial" w:hAnsi="Arial" w:cs="Arial"/>
          <w:i/>
          <w:iCs/>
          <w:color w:val="000000"/>
          <w:sz w:val="20"/>
          <w:szCs w:val="20"/>
        </w:rPr>
        <w:t xml:space="preserve">r, </w:t>
      </w:r>
      <w:r>
        <w:rPr>
          <w:rFonts w:ascii="Arial" w:hAnsi="Arial" w:cs="Arial"/>
          <w:color w:val="000000"/>
          <w:sz w:val="20"/>
          <w:szCs w:val="20"/>
        </w:rPr>
        <w:t xml:space="preserve">Annual Report, P.16, Accessible at: </w:t>
      </w:r>
      <w:r w:rsidRPr="0039017B">
        <w:rPr>
          <w:rFonts w:ascii="Arial" w:hAnsi="Arial" w:cs="Arial"/>
          <w:color w:val="000000"/>
          <w:sz w:val="20"/>
          <w:szCs w:val="20"/>
        </w:rPr>
        <w:t xml:space="preserve"> </w:t>
      </w:r>
      <w:hyperlink r:id="rId10" w:history="1">
        <w:r w:rsidRPr="0039017B">
          <w:rPr>
            <w:rStyle w:val="Hyperlink"/>
            <w:rFonts w:ascii="Arial" w:hAnsi="Arial" w:cs="Arial"/>
            <w:color w:val="1155CC"/>
            <w:sz w:val="20"/>
            <w:szCs w:val="20"/>
          </w:rPr>
          <w:t>https://www.oiprd.on.ca/wp-content/uploads/OIPRD-2021-  22-Annual-Report-English.pdf</w:t>
        </w:r>
      </w:hyperlink>
      <w:r>
        <w:rPr>
          <w:rStyle w:val="Hyperlink"/>
          <w:rFonts w:ascii="Arial" w:hAnsi="Arial" w:cs="Arial"/>
          <w:color w:val="1155CC"/>
          <w:sz w:val="20"/>
          <w:szCs w:val="20"/>
        </w:rPr>
        <w:t xml:space="preserve"> </w:t>
      </w:r>
    </w:p>
  </w:footnote>
  <w:footnote w:id="15">
    <w:p w14:paraId="556A7EDE" w14:textId="059B9F3D" w:rsidR="0039017B" w:rsidRPr="0039017B" w:rsidRDefault="0039017B" w:rsidP="0039017B">
      <w:pPr>
        <w:pStyle w:val="NormalWeb"/>
        <w:spacing w:before="0" w:beforeAutospacing="0" w:after="0" w:afterAutospacing="0"/>
        <w:jc w:val="both"/>
        <w:rPr>
          <w:rFonts w:ascii="Arial" w:hAnsi="Arial" w:cs="Arial"/>
          <w:color w:val="1155CC"/>
          <w:sz w:val="20"/>
          <w:szCs w:val="20"/>
          <w:u w:val="single"/>
        </w:rPr>
      </w:pPr>
      <w:r>
        <w:rPr>
          <w:rStyle w:val="FootnoteReference"/>
        </w:rPr>
        <w:footnoteRef/>
      </w:r>
      <w:r>
        <w:t xml:space="preserve"> </w:t>
      </w:r>
      <w:r w:rsidRPr="0039017B">
        <w:rPr>
          <w:rFonts w:ascii="Arial" w:hAnsi="Arial" w:cs="Arial"/>
          <w:i/>
          <w:iCs/>
          <w:color w:val="000000"/>
          <w:sz w:val="20"/>
          <w:szCs w:val="20"/>
        </w:rPr>
        <w:t>Office of the independent Police Review Directo</w:t>
      </w:r>
      <w:r>
        <w:rPr>
          <w:rFonts w:ascii="Arial" w:hAnsi="Arial" w:cs="Arial"/>
          <w:i/>
          <w:iCs/>
          <w:color w:val="000000"/>
          <w:sz w:val="20"/>
          <w:szCs w:val="20"/>
        </w:rPr>
        <w:t xml:space="preserve">r, </w:t>
      </w:r>
      <w:r>
        <w:rPr>
          <w:rFonts w:ascii="Arial" w:hAnsi="Arial" w:cs="Arial"/>
          <w:color w:val="000000"/>
          <w:sz w:val="20"/>
          <w:szCs w:val="20"/>
        </w:rPr>
        <w:t xml:space="preserve">Annual Report, P.17, Accessible at: </w:t>
      </w:r>
      <w:r w:rsidRPr="0039017B">
        <w:rPr>
          <w:rFonts w:ascii="Arial" w:hAnsi="Arial" w:cs="Arial"/>
          <w:color w:val="000000"/>
          <w:sz w:val="20"/>
          <w:szCs w:val="20"/>
        </w:rPr>
        <w:t xml:space="preserve"> </w:t>
      </w:r>
      <w:hyperlink r:id="rId11" w:history="1">
        <w:r w:rsidRPr="0039017B">
          <w:rPr>
            <w:rStyle w:val="Hyperlink"/>
            <w:rFonts w:ascii="Arial" w:hAnsi="Arial" w:cs="Arial"/>
            <w:color w:val="1155CC"/>
            <w:sz w:val="20"/>
            <w:szCs w:val="20"/>
          </w:rPr>
          <w:t>https://www.oiprd.on.ca/wp-content/uploads/OIPRD-2021-  22-Annual-Report-English.pdf</w:t>
        </w:r>
      </w:hyperlink>
      <w:r>
        <w:rPr>
          <w:rStyle w:val="Hyperlink"/>
          <w:rFonts w:ascii="Arial" w:hAnsi="Arial" w:cs="Arial"/>
          <w:color w:val="1155CC"/>
          <w:sz w:val="20"/>
          <w:szCs w:val="20"/>
        </w:rPr>
        <w:t xml:space="preserve"> </w:t>
      </w:r>
    </w:p>
  </w:footnote>
  <w:footnote w:id="16">
    <w:p w14:paraId="3BD17F9F" w14:textId="0CC89227" w:rsidR="0039017B" w:rsidRPr="0039017B" w:rsidRDefault="0039017B" w:rsidP="0039017B">
      <w:pPr>
        <w:pStyle w:val="NormalWeb"/>
        <w:spacing w:before="0" w:beforeAutospacing="0" w:after="0" w:afterAutospacing="0"/>
        <w:jc w:val="both"/>
        <w:rPr>
          <w:rFonts w:ascii="Arial" w:hAnsi="Arial" w:cs="Arial"/>
          <w:color w:val="1155CC"/>
          <w:sz w:val="20"/>
          <w:szCs w:val="20"/>
          <w:u w:val="single"/>
        </w:rPr>
      </w:pPr>
      <w:r>
        <w:rPr>
          <w:rStyle w:val="FootnoteReference"/>
        </w:rPr>
        <w:footnoteRef/>
      </w:r>
      <w:r>
        <w:t xml:space="preserve"> </w:t>
      </w:r>
      <w:r w:rsidRPr="0039017B">
        <w:rPr>
          <w:rFonts w:ascii="Arial" w:hAnsi="Arial" w:cs="Arial"/>
          <w:i/>
          <w:iCs/>
          <w:color w:val="000000"/>
          <w:sz w:val="20"/>
          <w:szCs w:val="20"/>
        </w:rPr>
        <w:t>Office of the independent Police Review Directo</w:t>
      </w:r>
      <w:r>
        <w:rPr>
          <w:rFonts w:ascii="Arial" w:hAnsi="Arial" w:cs="Arial"/>
          <w:i/>
          <w:iCs/>
          <w:color w:val="000000"/>
          <w:sz w:val="20"/>
          <w:szCs w:val="20"/>
        </w:rPr>
        <w:t xml:space="preserve">r, </w:t>
      </w:r>
      <w:r>
        <w:rPr>
          <w:rFonts w:ascii="Arial" w:hAnsi="Arial" w:cs="Arial"/>
          <w:color w:val="000000"/>
          <w:sz w:val="20"/>
          <w:szCs w:val="20"/>
        </w:rPr>
        <w:t xml:space="preserve">Annual Report, P.17, Accessible at: </w:t>
      </w:r>
      <w:r w:rsidRPr="0039017B">
        <w:rPr>
          <w:rFonts w:ascii="Arial" w:hAnsi="Arial" w:cs="Arial"/>
          <w:color w:val="000000"/>
          <w:sz w:val="20"/>
          <w:szCs w:val="20"/>
        </w:rPr>
        <w:t xml:space="preserve"> </w:t>
      </w:r>
      <w:hyperlink r:id="rId12" w:history="1">
        <w:r w:rsidRPr="0039017B">
          <w:rPr>
            <w:rStyle w:val="Hyperlink"/>
            <w:rFonts w:ascii="Arial" w:hAnsi="Arial" w:cs="Arial"/>
            <w:color w:val="1155CC"/>
            <w:sz w:val="20"/>
            <w:szCs w:val="20"/>
          </w:rPr>
          <w:t>https://www.oiprd.on.ca/wp-content/uploads/OIPRD-2021-  22-Annual-Report-English.pdf</w:t>
        </w:r>
      </w:hyperlink>
      <w:r>
        <w:rPr>
          <w:rStyle w:val="Hyperlink"/>
          <w:rFonts w:ascii="Arial" w:hAnsi="Arial" w:cs="Arial"/>
          <w:color w:val="1155CC"/>
          <w:sz w:val="20"/>
          <w:szCs w:val="20"/>
        </w:rPr>
        <w:t xml:space="preserve"> </w:t>
      </w:r>
    </w:p>
  </w:footnote>
  <w:footnote w:id="17">
    <w:p w14:paraId="0E375020" w14:textId="6BDCB2E9" w:rsidR="0039017B" w:rsidRPr="0039017B" w:rsidRDefault="0039017B" w:rsidP="0039017B">
      <w:pPr>
        <w:pStyle w:val="NormalWeb"/>
        <w:spacing w:before="0" w:beforeAutospacing="0" w:after="0" w:afterAutospacing="0"/>
        <w:jc w:val="both"/>
        <w:rPr>
          <w:rFonts w:ascii="Arial" w:hAnsi="Arial" w:cs="Arial"/>
          <w:color w:val="1155CC"/>
          <w:sz w:val="20"/>
          <w:szCs w:val="20"/>
          <w:u w:val="single"/>
        </w:rPr>
      </w:pPr>
      <w:r>
        <w:rPr>
          <w:rStyle w:val="FootnoteReference"/>
        </w:rPr>
        <w:footnoteRef/>
      </w:r>
      <w:r>
        <w:t xml:space="preserve"> </w:t>
      </w:r>
      <w:r w:rsidRPr="0039017B">
        <w:rPr>
          <w:rFonts w:ascii="Arial" w:hAnsi="Arial" w:cs="Arial"/>
          <w:i/>
          <w:iCs/>
          <w:color w:val="000000"/>
          <w:sz w:val="20"/>
          <w:szCs w:val="20"/>
        </w:rPr>
        <w:t>Office of the independent Police Review Directo</w:t>
      </w:r>
      <w:r>
        <w:rPr>
          <w:rFonts w:ascii="Arial" w:hAnsi="Arial" w:cs="Arial"/>
          <w:i/>
          <w:iCs/>
          <w:color w:val="000000"/>
          <w:sz w:val="20"/>
          <w:szCs w:val="20"/>
        </w:rPr>
        <w:t xml:space="preserve">r, </w:t>
      </w:r>
      <w:r>
        <w:rPr>
          <w:rFonts w:ascii="Arial" w:hAnsi="Arial" w:cs="Arial"/>
          <w:color w:val="000000"/>
          <w:sz w:val="20"/>
          <w:szCs w:val="20"/>
        </w:rPr>
        <w:t xml:space="preserve">Annual Report, P.18, Accessible at: </w:t>
      </w:r>
      <w:r w:rsidRPr="0039017B">
        <w:rPr>
          <w:rFonts w:ascii="Arial" w:hAnsi="Arial" w:cs="Arial"/>
          <w:color w:val="000000"/>
          <w:sz w:val="20"/>
          <w:szCs w:val="20"/>
        </w:rPr>
        <w:t xml:space="preserve"> </w:t>
      </w:r>
      <w:hyperlink r:id="rId13" w:history="1">
        <w:r w:rsidRPr="0039017B">
          <w:rPr>
            <w:rStyle w:val="Hyperlink"/>
            <w:rFonts w:ascii="Arial" w:hAnsi="Arial" w:cs="Arial"/>
            <w:color w:val="1155CC"/>
            <w:sz w:val="20"/>
            <w:szCs w:val="20"/>
          </w:rPr>
          <w:t>https://www.oiprd.on.ca/wp-content/uploads/OIPRD-2021-  22-Annual-Report-English.pdf</w:t>
        </w:r>
      </w:hyperlink>
      <w:r>
        <w:rPr>
          <w:rStyle w:val="Hyperlink"/>
          <w:rFonts w:ascii="Arial" w:hAnsi="Arial" w:cs="Arial"/>
          <w:color w:val="1155CC"/>
          <w:sz w:val="20"/>
          <w:szCs w:val="20"/>
        </w:rPr>
        <w:t xml:space="preserve"> </w:t>
      </w:r>
    </w:p>
  </w:footnote>
  <w:footnote w:id="18">
    <w:p w14:paraId="64702A41" w14:textId="78A4F876" w:rsidR="0039017B" w:rsidRPr="0039017B" w:rsidRDefault="0039017B" w:rsidP="0039017B">
      <w:pPr>
        <w:pStyle w:val="NormalWeb"/>
        <w:spacing w:before="0" w:beforeAutospacing="0" w:after="0" w:afterAutospacing="0"/>
        <w:jc w:val="both"/>
        <w:rPr>
          <w:rStyle w:val="Hyperlink"/>
          <w:rFonts w:ascii="Arial" w:hAnsi="Arial" w:cs="Arial"/>
          <w:color w:val="1155CC"/>
          <w:sz w:val="20"/>
          <w:szCs w:val="20"/>
        </w:rPr>
      </w:pPr>
      <w:r>
        <w:rPr>
          <w:rStyle w:val="FootnoteReference"/>
        </w:rPr>
        <w:footnoteRef/>
      </w:r>
      <w:r>
        <w:t xml:space="preserve"> </w:t>
      </w:r>
      <w:r w:rsidRPr="0039017B">
        <w:rPr>
          <w:rFonts w:ascii="Arial" w:hAnsi="Arial" w:cs="Arial"/>
          <w:i/>
          <w:iCs/>
          <w:color w:val="000000"/>
          <w:sz w:val="20"/>
          <w:szCs w:val="20"/>
        </w:rPr>
        <w:t>Office of the independent Police Review Directo</w:t>
      </w:r>
      <w:r>
        <w:rPr>
          <w:rFonts w:ascii="Arial" w:hAnsi="Arial" w:cs="Arial"/>
          <w:i/>
          <w:iCs/>
          <w:color w:val="000000"/>
          <w:sz w:val="20"/>
          <w:szCs w:val="20"/>
        </w:rPr>
        <w:t xml:space="preserve">r, </w:t>
      </w:r>
      <w:r>
        <w:rPr>
          <w:rFonts w:ascii="Arial" w:hAnsi="Arial" w:cs="Arial"/>
          <w:color w:val="000000"/>
          <w:sz w:val="20"/>
          <w:szCs w:val="20"/>
        </w:rPr>
        <w:t xml:space="preserve">Annual Report, P.18, Accessible at: </w:t>
      </w:r>
      <w:r w:rsidRPr="0039017B">
        <w:rPr>
          <w:rFonts w:ascii="Arial" w:hAnsi="Arial" w:cs="Arial"/>
          <w:color w:val="000000"/>
          <w:sz w:val="20"/>
          <w:szCs w:val="20"/>
        </w:rPr>
        <w:t xml:space="preserve"> </w:t>
      </w:r>
      <w:hyperlink r:id="rId14" w:history="1">
        <w:r w:rsidRPr="0039017B">
          <w:rPr>
            <w:rStyle w:val="Hyperlink"/>
            <w:rFonts w:ascii="Arial" w:hAnsi="Arial" w:cs="Arial"/>
            <w:color w:val="1155CC"/>
            <w:sz w:val="20"/>
            <w:szCs w:val="20"/>
          </w:rPr>
          <w:t>https://www.oiprd.on.ca/wp-content/uploads/OIPRD-2021-  22-Annual-Report-English.pdf</w:t>
        </w:r>
      </w:hyperlink>
      <w:r>
        <w:rPr>
          <w:rStyle w:val="Hyperlink"/>
          <w:rFonts w:ascii="Arial" w:hAnsi="Arial" w:cs="Arial"/>
          <w:color w:val="1155CC"/>
          <w:sz w:val="20"/>
          <w:szCs w:val="20"/>
        </w:rPr>
        <w:t xml:space="preserve"> </w:t>
      </w:r>
    </w:p>
    <w:p w14:paraId="70A68D4D" w14:textId="3E11FB52" w:rsidR="0039017B" w:rsidRPr="0039017B" w:rsidRDefault="0039017B" w:rsidP="0039017B">
      <w:pPr>
        <w:pStyle w:val="FootnoteText"/>
        <w:jc w:val="both"/>
      </w:pPr>
    </w:p>
  </w:footnote>
  <w:footnote w:id="19">
    <w:p w14:paraId="69C1B3E1" w14:textId="4A847572" w:rsidR="00757EB8" w:rsidRPr="00757EB8" w:rsidRDefault="00757EB8" w:rsidP="0039017B">
      <w:pPr>
        <w:pStyle w:val="FootnoteText"/>
        <w:jc w:val="both"/>
        <w:rPr>
          <w:lang w:val="fr-FR"/>
        </w:rPr>
      </w:pPr>
      <w:r>
        <w:rPr>
          <w:rStyle w:val="FootnoteReference"/>
        </w:rPr>
        <w:footnoteRef/>
      </w:r>
      <w:r w:rsidRPr="00757EB8">
        <w:rPr>
          <w:lang w:val="fr-FR"/>
        </w:rPr>
        <w:t xml:space="preserve"> </w:t>
      </w:r>
      <w:r>
        <w:rPr>
          <w:lang w:val="fr-FR"/>
        </w:rPr>
        <w:t xml:space="preserve">Projet de loi </w:t>
      </w:r>
      <w:r w:rsidR="00E210FA">
        <w:rPr>
          <w:lang w:val="fr-FR"/>
        </w:rPr>
        <w:t>14, P.2</w:t>
      </w:r>
      <w:r w:rsidR="00640833">
        <w:rPr>
          <w:lang w:val="fr-FR"/>
        </w:rPr>
        <w:t>-3</w:t>
      </w:r>
    </w:p>
  </w:footnote>
  <w:footnote w:id="20">
    <w:p w14:paraId="6CEE5FC8" w14:textId="77777777" w:rsidR="005A6222" w:rsidRPr="00F660BB" w:rsidRDefault="005A6222" w:rsidP="005A6222">
      <w:pPr>
        <w:pStyle w:val="FootnoteText"/>
        <w:jc w:val="both"/>
        <w:rPr>
          <w:lang w:val="fr-FR"/>
        </w:rPr>
      </w:pPr>
      <w:r>
        <w:rPr>
          <w:rStyle w:val="FootnoteReference"/>
        </w:rPr>
        <w:footnoteRef/>
      </w:r>
      <w:r w:rsidRPr="00F660BB">
        <w:rPr>
          <w:lang w:val="fr-FR"/>
        </w:rPr>
        <w:t xml:space="preserve"> </w:t>
      </w:r>
      <w:r>
        <w:rPr>
          <w:lang w:val="fr-FR"/>
        </w:rPr>
        <w:t xml:space="preserve">Loi sur la police, Article 192 </w:t>
      </w:r>
    </w:p>
  </w:footnote>
  <w:footnote w:id="21">
    <w:p w14:paraId="4D9C8929" w14:textId="4C3119B5" w:rsidR="00371AAE" w:rsidRPr="00371AAE" w:rsidRDefault="00371AAE" w:rsidP="0039017B">
      <w:pPr>
        <w:pStyle w:val="FootnoteText"/>
        <w:jc w:val="both"/>
        <w:rPr>
          <w:lang w:val="fr-FR"/>
        </w:rPr>
      </w:pPr>
      <w:r>
        <w:rPr>
          <w:rStyle w:val="FootnoteReference"/>
        </w:rPr>
        <w:footnoteRef/>
      </w:r>
      <w:r w:rsidRPr="00371AAE">
        <w:rPr>
          <w:lang w:val="fr-FR"/>
        </w:rPr>
        <w:t xml:space="preserve"> </w:t>
      </w:r>
      <w:r>
        <w:rPr>
          <w:lang w:val="fr-FR"/>
        </w:rPr>
        <w:t>Projet de loi N0 14, Loi modifiant diverses dispositions relatives à la sécurité publique et édictant la Loi visant à aider à retrouver des personnes disparues, Article 25, page 10</w:t>
      </w:r>
    </w:p>
  </w:footnote>
  <w:footnote w:id="22">
    <w:p w14:paraId="7872E38B" w14:textId="4F6F2D8C" w:rsidR="00D649B3" w:rsidRPr="00D649B3" w:rsidRDefault="00D649B3" w:rsidP="0039017B">
      <w:pPr>
        <w:pStyle w:val="FootnoteText"/>
        <w:jc w:val="both"/>
        <w:rPr>
          <w:lang w:val="fr-FR"/>
        </w:rPr>
      </w:pPr>
      <w:r>
        <w:rPr>
          <w:rStyle w:val="FootnoteReference"/>
        </w:rPr>
        <w:footnoteRef/>
      </w:r>
      <w:r w:rsidRPr="00D649B3">
        <w:rPr>
          <w:lang w:val="fr-FR"/>
        </w:rPr>
        <w:t xml:space="preserve"> </w:t>
      </w:r>
      <w:r>
        <w:rPr>
          <w:lang w:val="fr-FR"/>
        </w:rPr>
        <w:t>Projet de loi N0 14, Loi modifiant diverses dispositions relatives à la sécurité publique et édictant la Loi visant à aider à retrouver des personnes disparues, Article 2</w:t>
      </w:r>
      <w:r w:rsidR="00371AAE">
        <w:rPr>
          <w:lang w:val="fr-FR"/>
        </w:rPr>
        <w:t>7</w:t>
      </w:r>
      <w:r>
        <w:rPr>
          <w:lang w:val="fr-FR"/>
        </w:rPr>
        <w:t>, page 1</w:t>
      </w:r>
      <w:r w:rsidR="00371AAE">
        <w:rPr>
          <w:lang w:val="fr-FR"/>
        </w:rPr>
        <w:t>1</w:t>
      </w:r>
    </w:p>
  </w:footnote>
  <w:footnote w:id="23">
    <w:p w14:paraId="616E2E5F" w14:textId="77777777" w:rsidR="002020EF" w:rsidRPr="00D649B3" w:rsidRDefault="002020EF" w:rsidP="002020EF">
      <w:pPr>
        <w:pStyle w:val="FootnoteText"/>
        <w:jc w:val="both"/>
        <w:rPr>
          <w:lang w:val="fr-FR"/>
        </w:rPr>
      </w:pPr>
      <w:r>
        <w:rPr>
          <w:rStyle w:val="FootnoteReference"/>
        </w:rPr>
        <w:footnoteRef/>
      </w:r>
      <w:r w:rsidRPr="00D649B3">
        <w:rPr>
          <w:lang w:val="fr-FR"/>
        </w:rPr>
        <w:t xml:space="preserve"> </w:t>
      </w:r>
      <w:r>
        <w:rPr>
          <w:lang w:val="fr-FR"/>
        </w:rPr>
        <w:t>Projet de loi N0 14, Loi modifiant diverses dispositions relatives à la sécurité publique et édictant la Loi visant à aider à retrouver des personnes disparues, Article 32, page 12</w:t>
      </w:r>
    </w:p>
  </w:footnote>
  <w:footnote w:id="24">
    <w:p w14:paraId="784456AC" w14:textId="20B7F7DC" w:rsidR="00A94AB7" w:rsidRPr="00A94AB7" w:rsidRDefault="00A94AB7" w:rsidP="0039017B">
      <w:pPr>
        <w:pStyle w:val="FootnoteText"/>
        <w:jc w:val="both"/>
        <w:rPr>
          <w:lang w:val="fr-FR"/>
        </w:rPr>
      </w:pPr>
      <w:r>
        <w:rPr>
          <w:rStyle w:val="FootnoteReference"/>
        </w:rPr>
        <w:footnoteRef/>
      </w:r>
      <w:r w:rsidRPr="00A94AB7">
        <w:rPr>
          <w:lang w:val="fr-FR"/>
        </w:rPr>
        <w:t xml:space="preserve"> </w:t>
      </w:r>
      <w:r>
        <w:rPr>
          <w:lang w:val="fr-FR"/>
        </w:rPr>
        <w:t>Projet de loi N0 14, Loi modifiant diverses dispositions relatives à la sécurité publique et édictant la Loi visant à aider à retrouver des personnes disparues, Article 39, page 13</w:t>
      </w:r>
    </w:p>
  </w:footnote>
  <w:footnote w:id="25">
    <w:p w14:paraId="03719D6C" w14:textId="547715A3" w:rsidR="00A94AB7" w:rsidRPr="00A94AB7" w:rsidRDefault="00A94AB7" w:rsidP="0039017B">
      <w:pPr>
        <w:pStyle w:val="FootnoteText"/>
        <w:jc w:val="both"/>
        <w:rPr>
          <w:lang w:val="fr-FR"/>
        </w:rPr>
      </w:pPr>
      <w:r w:rsidRPr="004F0EEF">
        <w:rPr>
          <w:rStyle w:val="FootnoteReference"/>
        </w:rPr>
        <w:footnoteRef/>
      </w:r>
      <w:r w:rsidRPr="004F0EEF">
        <w:rPr>
          <w:lang w:val="fr-FR"/>
        </w:rPr>
        <w:t xml:space="preserve"> Rencontre de Josiane avec la Commissaire Hillinger, P.3, accessible </w:t>
      </w:r>
      <w:r w:rsidR="004F0EEF">
        <w:rPr>
          <w:lang w:val="fr-FR"/>
        </w:rPr>
        <w:t>sur le drive de Droit de Cité</w:t>
      </w:r>
    </w:p>
  </w:footnote>
  <w:footnote w:id="26">
    <w:p w14:paraId="2BEF9AF5" w14:textId="279B79B9" w:rsidR="00D7683B" w:rsidRPr="00D7683B" w:rsidRDefault="00D7683B" w:rsidP="0039017B">
      <w:pPr>
        <w:pStyle w:val="FootnoteText"/>
        <w:jc w:val="both"/>
        <w:rPr>
          <w:lang w:val="fr-FR"/>
        </w:rPr>
      </w:pPr>
      <w:r>
        <w:rPr>
          <w:rStyle w:val="FootnoteReference"/>
        </w:rPr>
        <w:footnoteRef/>
      </w:r>
      <w:r w:rsidRPr="00D7683B">
        <w:rPr>
          <w:lang w:val="fr-FR"/>
        </w:rPr>
        <w:t xml:space="preserve"> </w:t>
      </w:r>
      <w:r>
        <w:rPr>
          <w:lang w:val="fr-FR"/>
        </w:rPr>
        <w:t>Projet de loi N0 14, Loi modifiant diverses dispositions relatives à la sécurité publique et édictant la Loi visant à aider à retrouver des personnes disparues, Article 40, page 13-14</w:t>
      </w:r>
    </w:p>
  </w:footnote>
  <w:footnote w:id="27">
    <w:p w14:paraId="7111DB88" w14:textId="113C4510" w:rsidR="00A67484" w:rsidRPr="00A67484" w:rsidRDefault="00A67484" w:rsidP="0039017B">
      <w:pPr>
        <w:pStyle w:val="FootnoteText"/>
        <w:jc w:val="both"/>
        <w:rPr>
          <w:lang w:val="fr-FR"/>
        </w:rPr>
      </w:pPr>
      <w:r>
        <w:rPr>
          <w:rStyle w:val="FootnoteReference"/>
        </w:rPr>
        <w:footnoteRef/>
      </w:r>
      <w:r w:rsidRPr="00A67484">
        <w:rPr>
          <w:lang w:val="fr-FR"/>
        </w:rPr>
        <w:t xml:space="preserve"> </w:t>
      </w:r>
      <w:r>
        <w:rPr>
          <w:lang w:val="fr-FR"/>
        </w:rPr>
        <w:t xml:space="preserve">Projet de loi N0 14, Loi modifiant diverses dispositions relatives à la sécurité publique et édictant la Loi visant à aider à retrouver des personnes disparues, Article 17, page 9 </w:t>
      </w:r>
    </w:p>
  </w:footnote>
  <w:footnote w:id="28">
    <w:p w14:paraId="369106A3" w14:textId="537208A9" w:rsidR="00A67484" w:rsidRPr="00A67484" w:rsidRDefault="00A67484" w:rsidP="0039017B">
      <w:pPr>
        <w:pStyle w:val="FootnoteText"/>
        <w:jc w:val="both"/>
        <w:rPr>
          <w:lang w:val="fr-FR"/>
        </w:rPr>
      </w:pPr>
      <w:r>
        <w:rPr>
          <w:rStyle w:val="FootnoteReference"/>
        </w:rPr>
        <w:footnoteRef/>
      </w:r>
      <w:r w:rsidRPr="00A67484">
        <w:rPr>
          <w:lang w:val="fr-FR"/>
        </w:rPr>
        <w:t xml:space="preserve"> </w:t>
      </w:r>
      <w:r>
        <w:rPr>
          <w:lang w:val="fr-FR"/>
        </w:rPr>
        <w:t xml:space="preserve">2 minutes 50 secondes, Vidéo accessible à : </w:t>
      </w:r>
      <w:hyperlink r:id="rId15" w:history="1">
        <w:r w:rsidRPr="00A168A5">
          <w:rPr>
            <w:rStyle w:val="Hyperlink"/>
            <w:lang w:val="fr-FR"/>
          </w:rPr>
          <w:t>https://www.assnat.qc.ca/fr/video-audio/archives-parlementaires/travaux-commissions/AudioVideo-98449.html</w:t>
        </w:r>
      </w:hyperlink>
      <w:r>
        <w:rPr>
          <w:lang w:val="fr-FR"/>
        </w:rPr>
        <w:t xml:space="preserve"> </w:t>
      </w:r>
    </w:p>
  </w:footnote>
  <w:footnote w:id="29">
    <w:p w14:paraId="316F1F3D" w14:textId="1B51BCD0" w:rsidR="004F4BFF" w:rsidRPr="004F4BFF" w:rsidRDefault="004F4BFF" w:rsidP="0039017B">
      <w:pPr>
        <w:pStyle w:val="FootnoteText"/>
        <w:jc w:val="both"/>
        <w:rPr>
          <w:lang w:val="fr-FR"/>
        </w:rPr>
      </w:pPr>
      <w:r>
        <w:rPr>
          <w:rStyle w:val="FootnoteReference"/>
        </w:rPr>
        <w:footnoteRef/>
      </w:r>
      <w:r w:rsidRPr="004F4BFF">
        <w:rPr>
          <w:lang w:val="fr-FR"/>
        </w:rPr>
        <w:t xml:space="preserve"> </w:t>
      </w:r>
      <w:r>
        <w:rPr>
          <w:lang w:val="fr-FR"/>
        </w:rPr>
        <w:t>Projet de loi N0 14, Loi modifiant diverses dispositions relatives à la sécurité publique et édictant la Loi visant à aider à retrouver des personnes disparues, Article 37, page 13</w:t>
      </w:r>
    </w:p>
  </w:footnote>
  <w:footnote w:id="30">
    <w:p w14:paraId="7537E487" w14:textId="33D81A8D" w:rsidR="001F5D08" w:rsidRPr="001F5D08" w:rsidRDefault="001F5D08" w:rsidP="0039017B">
      <w:pPr>
        <w:pStyle w:val="FootnoteText"/>
        <w:jc w:val="both"/>
        <w:rPr>
          <w:lang w:val="fr-FR"/>
        </w:rPr>
      </w:pPr>
      <w:r>
        <w:rPr>
          <w:rStyle w:val="FootnoteReference"/>
        </w:rPr>
        <w:footnoteRef/>
      </w:r>
      <w:r w:rsidRPr="001F5D08">
        <w:rPr>
          <w:lang w:val="fr-FR"/>
        </w:rPr>
        <w:t xml:space="preserve"> </w:t>
      </w:r>
      <w:r>
        <w:rPr>
          <w:lang w:val="fr-FR"/>
        </w:rPr>
        <w:t>Projet de loi N0 14, Loi modifiant diverses dispositions relatives à la sécurité publique et édictant la Loi visant à aider à retrouver des personnes disparues, Article 41, page 14</w:t>
      </w:r>
    </w:p>
  </w:footnote>
  <w:footnote w:id="31">
    <w:p w14:paraId="7B276C22" w14:textId="11D70F58" w:rsidR="007A06C3" w:rsidRPr="007A06C3" w:rsidRDefault="007A06C3" w:rsidP="0039017B">
      <w:pPr>
        <w:pStyle w:val="FootnoteText"/>
        <w:jc w:val="both"/>
        <w:rPr>
          <w:lang w:val="fr-FR"/>
        </w:rPr>
      </w:pPr>
      <w:r>
        <w:rPr>
          <w:rStyle w:val="FootnoteReference"/>
        </w:rPr>
        <w:footnoteRef/>
      </w:r>
      <w:r w:rsidRPr="007A06C3">
        <w:rPr>
          <w:lang w:val="fr-FR"/>
        </w:rPr>
        <w:t xml:space="preserve"> </w:t>
      </w:r>
      <w:r>
        <w:rPr>
          <w:lang w:val="fr-FR"/>
        </w:rPr>
        <w:t>Projet de loi N0 14, Loi modifiant diverses dispositions relatives à la sécurité publique et édictant la Loi visant à aider à retrouver des personnes disparues, Article 65, page 18</w:t>
      </w:r>
    </w:p>
  </w:footnote>
  <w:footnote w:id="32">
    <w:p w14:paraId="0DB07BAD" w14:textId="2689D8BC" w:rsidR="0064159B" w:rsidRPr="0064159B" w:rsidRDefault="0064159B" w:rsidP="0039017B">
      <w:pPr>
        <w:pStyle w:val="FootnoteText"/>
        <w:jc w:val="both"/>
        <w:rPr>
          <w:lang w:val="fr-CA"/>
        </w:rPr>
      </w:pPr>
      <w:r>
        <w:rPr>
          <w:rStyle w:val="FootnoteReference"/>
        </w:rPr>
        <w:footnoteRef/>
      </w:r>
      <w:r w:rsidRPr="0064159B">
        <w:rPr>
          <w:lang w:val="fr-FR"/>
        </w:rPr>
        <w:t xml:space="preserve"> </w:t>
      </w:r>
      <w:r>
        <w:rPr>
          <w:lang w:val="fr-FR"/>
        </w:rPr>
        <w:t>C</w:t>
      </w:r>
      <w:r w:rsidRPr="00D30E42">
        <w:rPr>
          <w:lang w:val="fr-FR"/>
        </w:rPr>
        <w:t xml:space="preserve">ommissaire </w:t>
      </w:r>
      <w:r>
        <w:rPr>
          <w:lang w:val="fr-FR"/>
        </w:rPr>
        <w:t xml:space="preserve">à la Déontologie Policière, Rapport Annuel 2021-2022, Accessible à : </w:t>
      </w:r>
      <w:hyperlink r:id="rId16" w:history="1">
        <w:r w:rsidRPr="00A02306">
          <w:rPr>
            <w:rStyle w:val="Hyperlink"/>
            <w:rFonts w:ascii="Arial" w:hAnsi="Arial" w:cs="Arial"/>
            <w:lang w:val="fr-FR"/>
          </w:rPr>
          <w:t>https://deontologie-policiere.gouv.qc.ca/fileadmin/contenu/publications/RAG_2021_2022_COMDP_VF_20221031.pdf</w:t>
        </w:r>
      </w:hyperlink>
      <w:r>
        <w:rPr>
          <w:rFonts w:ascii="Arial" w:hAnsi="Arial" w:cs="Arial"/>
          <w:color w:val="000000"/>
          <w:lang w:val="fr-FR"/>
        </w:rPr>
        <w:t>, P.34</w:t>
      </w:r>
    </w:p>
  </w:footnote>
  <w:footnote w:id="33">
    <w:p w14:paraId="6ED09E3A" w14:textId="23FD7CB9" w:rsidR="004579BF" w:rsidRPr="00D864B3" w:rsidRDefault="004579BF" w:rsidP="0039017B">
      <w:pPr>
        <w:spacing w:after="240"/>
        <w:jc w:val="both"/>
        <w:rPr>
          <w:lang w:val="fr-FR"/>
        </w:rPr>
      </w:pPr>
      <w:r>
        <w:rPr>
          <w:rStyle w:val="FootnoteReference"/>
        </w:rPr>
        <w:footnoteRef/>
      </w:r>
      <w:r w:rsidRPr="004579BF">
        <w:rPr>
          <w:lang w:val="fr-FR"/>
        </w:rPr>
        <w:t xml:space="preserve"> </w:t>
      </w:r>
      <w:r>
        <w:rPr>
          <w:lang w:val="fr-CA"/>
        </w:rPr>
        <w:t xml:space="preserve">La citation en question est accessible à : </w:t>
      </w:r>
      <w:hyperlink r:id="rId17" w:history="1">
        <w:r w:rsidRPr="00A168A5">
          <w:rPr>
            <w:rStyle w:val="Hyperlink"/>
            <w:lang w:val="fr-FR"/>
          </w:rPr>
          <w:t>https://comite.deontologie.gouv.qc.ca/fileadmin/user_upload/20230626_Dec_rejet_C-5406.pdf</w:t>
        </w:r>
      </w:hyperlink>
    </w:p>
    <w:p w14:paraId="3868C6B1" w14:textId="545307FD" w:rsidR="004579BF" w:rsidRPr="004579BF" w:rsidRDefault="004579BF">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13D"/>
    <w:multiLevelType w:val="multilevel"/>
    <w:tmpl w:val="98CEC6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F780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64375"/>
    <w:multiLevelType w:val="hybridMultilevel"/>
    <w:tmpl w:val="64602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311E4"/>
    <w:multiLevelType w:val="multilevel"/>
    <w:tmpl w:val="30AC9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F099B"/>
    <w:multiLevelType w:val="multilevel"/>
    <w:tmpl w:val="98CEC6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3E45A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1875B9"/>
    <w:multiLevelType w:val="multilevel"/>
    <w:tmpl w:val="B55E56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E781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433A32"/>
    <w:multiLevelType w:val="multilevel"/>
    <w:tmpl w:val="734CBF52"/>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4912D6"/>
    <w:multiLevelType w:val="multilevel"/>
    <w:tmpl w:val="5EB246C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9D2DE0"/>
    <w:multiLevelType w:val="multilevel"/>
    <w:tmpl w:val="30AC9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D813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995B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A944F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332CC8"/>
    <w:multiLevelType w:val="hybridMultilevel"/>
    <w:tmpl w:val="7F4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90180"/>
    <w:multiLevelType w:val="multilevel"/>
    <w:tmpl w:val="F4B8D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EA604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9250DD"/>
    <w:multiLevelType w:val="multilevel"/>
    <w:tmpl w:val="DE86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034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836E9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426C3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B54C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916EC"/>
    <w:multiLevelType w:val="multilevel"/>
    <w:tmpl w:val="F5C2DCF2"/>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5F62EA"/>
    <w:multiLevelType w:val="multilevel"/>
    <w:tmpl w:val="3EC6AE2E"/>
    <w:styleLink w:val="CurrentList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8C5606"/>
    <w:multiLevelType w:val="hybridMultilevel"/>
    <w:tmpl w:val="D7EAE904"/>
    <w:lvl w:ilvl="0" w:tplc="0809000F">
      <w:start w:val="1"/>
      <w:numFmt w:val="decimal"/>
      <w:lvlText w:val="%1."/>
      <w:lvlJc w:val="left"/>
      <w:pPr>
        <w:ind w:left="2658" w:hanging="360"/>
      </w:pPr>
    </w:lvl>
    <w:lvl w:ilvl="1" w:tplc="08090019" w:tentative="1">
      <w:start w:val="1"/>
      <w:numFmt w:val="lowerLetter"/>
      <w:lvlText w:val="%2."/>
      <w:lvlJc w:val="left"/>
      <w:pPr>
        <w:ind w:left="3378" w:hanging="360"/>
      </w:pPr>
    </w:lvl>
    <w:lvl w:ilvl="2" w:tplc="0809001B" w:tentative="1">
      <w:start w:val="1"/>
      <w:numFmt w:val="lowerRoman"/>
      <w:lvlText w:val="%3."/>
      <w:lvlJc w:val="right"/>
      <w:pPr>
        <w:ind w:left="4098" w:hanging="180"/>
      </w:pPr>
    </w:lvl>
    <w:lvl w:ilvl="3" w:tplc="0809000F" w:tentative="1">
      <w:start w:val="1"/>
      <w:numFmt w:val="decimal"/>
      <w:lvlText w:val="%4."/>
      <w:lvlJc w:val="left"/>
      <w:pPr>
        <w:ind w:left="4818" w:hanging="360"/>
      </w:pPr>
    </w:lvl>
    <w:lvl w:ilvl="4" w:tplc="08090019" w:tentative="1">
      <w:start w:val="1"/>
      <w:numFmt w:val="lowerLetter"/>
      <w:lvlText w:val="%5."/>
      <w:lvlJc w:val="left"/>
      <w:pPr>
        <w:ind w:left="5538" w:hanging="360"/>
      </w:pPr>
    </w:lvl>
    <w:lvl w:ilvl="5" w:tplc="0809001B" w:tentative="1">
      <w:start w:val="1"/>
      <w:numFmt w:val="lowerRoman"/>
      <w:lvlText w:val="%6."/>
      <w:lvlJc w:val="right"/>
      <w:pPr>
        <w:ind w:left="6258" w:hanging="180"/>
      </w:pPr>
    </w:lvl>
    <w:lvl w:ilvl="6" w:tplc="0809000F" w:tentative="1">
      <w:start w:val="1"/>
      <w:numFmt w:val="decimal"/>
      <w:lvlText w:val="%7."/>
      <w:lvlJc w:val="left"/>
      <w:pPr>
        <w:ind w:left="6978" w:hanging="360"/>
      </w:pPr>
    </w:lvl>
    <w:lvl w:ilvl="7" w:tplc="08090019" w:tentative="1">
      <w:start w:val="1"/>
      <w:numFmt w:val="lowerLetter"/>
      <w:lvlText w:val="%8."/>
      <w:lvlJc w:val="left"/>
      <w:pPr>
        <w:ind w:left="7698" w:hanging="360"/>
      </w:pPr>
    </w:lvl>
    <w:lvl w:ilvl="8" w:tplc="0809001B" w:tentative="1">
      <w:start w:val="1"/>
      <w:numFmt w:val="lowerRoman"/>
      <w:lvlText w:val="%9."/>
      <w:lvlJc w:val="right"/>
      <w:pPr>
        <w:ind w:left="8418" w:hanging="180"/>
      </w:pPr>
    </w:lvl>
  </w:abstractNum>
  <w:abstractNum w:abstractNumId="25" w15:restartNumberingAfterBreak="0">
    <w:nsid w:val="5ABF09AB"/>
    <w:multiLevelType w:val="hybridMultilevel"/>
    <w:tmpl w:val="F356B27E"/>
    <w:lvl w:ilvl="0" w:tplc="764EF68C">
      <w:start w:val="16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6114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583127"/>
    <w:multiLevelType w:val="multilevel"/>
    <w:tmpl w:val="EDE8A5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770B31"/>
    <w:multiLevelType w:val="hybridMultilevel"/>
    <w:tmpl w:val="7F681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C87E84"/>
    <w:multiLevelType w:val="multilevel"/>
    <w:tmpl w:val="734CBF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1691CC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6A4F72"/>
    <w:multiLevelType w:val="hybridMultilevel"/>
    <w:tmpl w:val="7624C860"/>
    <w:lvl w:ilvl="0" w:tplc="485C85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5731"/>
    <w:multiLevelType w:val="hybridMultilevel"/>
    <w:tmpl w:val="BFA238FE"/>
    <w:lvl w:ilvl="0" w:tplc="57500A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A14"/>
    <w:multiLevelType w:val="multilevel"/>
    <w:tmpl w:val="040C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019558">
    <w:abstractNumId w:val="31"/>
  </w:num>
  <w:num w:numId="2" w16cid:durableId="1573585917">
    <w:abstractNumId w:val="17"/>
  </w:num>
  <w:num w:numId="3" w16cid:durableId="2016225223">
    <w:abstractNumId w:val="32"/>
  </w:num>
  <w:num w:numId="4" w16cid:durableId="1139179032">
    <w:abstractNumId w:val="19"/>
  </w:num>
  <w:num w:numId="5" w16cid:durableId="1763143905">
    <w:abstractNumId w:val="11"/>
  </w:num>
  <w:num w:numId="6" w16cid:durableId="1920360222">
    <w:abstractNumId w:val="15"/>
  </w:num>
  <w:num w:numId="7" w16cid:durableId="569653562">
    <w:abstractNumId w:val="14"/>
  </w:num>
  <w:num w:numId="8" w16cid:durableId="2145271318">
    <w:abstractNumId w:val="1"/>
  </w:num>
  <w:num w:numId="9" w16cid:durableId="145360005">
    <w:abstractNumId w:val="7"/>
  </w:num>
  <w:num w:numId="10" w16cid:durableId="1409301922">
    <w:abstractNumId w:val="16"/>
  </w:num>
  <w:num w:numId="11" w16cid:durableId="1018854061">
    <w:abstractNumId w:val="2"/>
  </w:num>
  <w:num w:numId="12" w16cid:durableId="1981692847">
    <w:abstractNumId w:val="28"/>
  </w:num>
  <w:num w:numId="13" w16cid:durableId="1127695469">
    <w:abstractNumId w:val="21"/>
  </w:num>
  <w:num w:numId="14" w16cid:durableId="1825582237">
    <w:abstractNumId w:val="13"/>
  </w:num>
  <w:num w:numId="15" w16cid:durableId="1626421662">
    <w:abstractNumId w:val="5"/>
  </w:num>
  <w:num w:numId="16" w16cid:durableId="905725830">
    <w:abstractNumId w:val="12"/>
  </w:num>
  <w:num w:numId="17" w16cid:durableId="1407335809">
    <w:abstractNumId w:val="18"/>
  </w:num>
  <w:num w:numId="18" w16cid:durableId="728500063">
    <w:abstractNumId w:val="26"/>
  </w:num>
  <w:num w:numId="19" w16cid:durableId="2036954088">
    <w:abstractNumId w:val="20"/>
  </w:num>
  <w:num w:numId="20" w16cid:durableId="224144232">
    <w:abstractNumId w:val="33"/>
  </w:num>
  <w:num w:numId="21" w16cid:durableId="1766487870">
    <w:abstractNumId w:val="24"/>
  </w:num>
  <w:num w:numId="22" w16cid:durableId="1417898123">
    <w:abstractNumId w:val="27"/>
  </w:num>
  <w:num w:numId="23" w16cid:durableId="1568151999">
    <w:abstractNumId w:val="29"/>
  </w:num>
  <w:num w:numId="24" w16cid:durableId="300115627">
    <w:abstractNumId w:val="22"/>
  </w:num>
  <w:num w:numId="25" w16cid:durableId="958223629">
    <w:abstractNumId w:val="30"/>
  </w:num>
  <w:num w:numId="26" w16cid:durableId="97877547">
    <w:abstractNumId w:val="23"/>
  </w:num>
  <w:num w:numId="27" w16cid:durableId="1339885836">
    <w:abstractNumId w:val="8"/>
  </w:num>
  <w:num w:numId="28" w16cid:durableId="2110881154">
    <w:abstractNumId w:val="9"/>
  </w:num>
  <w:num w:numId="29" w16cid:durableId="36467811">
    <w:abstractNumId w:val="3"/>
  </w:num>
  <w:num w:numId="30" w16cid:durableId="1033921119">
    <w:abstractNumId w:val="10"/>
  </w:num>
  <w:num w:numId="31" w16cid:durableId="970937227">
    <w:abstractNumId w:val="25"/>
  </w:num>
  <w:num w:numId="32" w16cid:durableId="256596723">
    <w:abstractNumId w:val="6"/>
  </w:num>
  <w:num w:numId="33" w16cid:durableId="95100482">
    <w:abstractNumId w:val="0"/>
  </w:num>
  <w:num w:numId="34" w16cid:durableId="401566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42"/>
    <w:rsid w:val="00001051"/>
    <w:rsid w:val="00031BF6"/>
    <w:rsid w:val="00033906"/>
    <w:rsid w:val="000427D1"/>
    <w:rsid w:val="00056844"/>
    <w:rsid w:val="00070173"/>
    <w:rsid w:val="00093A3D"/>
    <w:rsid w:val="000B4796"/>
    <w:rsid w:val="000E66BD"/>
    <w:rsid w:val="000F076A"/>
    <w:rsid w:val="00110BE0"/>
    <w:rsid w:val="00114990"/>
    <w:rsid w:val="001237DB"/>
    <w:rsid w:val="00130A09"/>
    <w:rsid w:val="00133DA3"/>
    <w:rsid w:val="00162D36"/>
    <w:rsid w:val="00180376"/>
    <w:rsid w:val="0018278F"/>
    <w:rsid w:val="001C63E9"/>
    <w:rsid w:val="001C71C9"/>
    <w:rsid w:val="001D0CE2"/>
    <w:rsid w:val="001D79EF"/>
    <w:rsid w:val="001F4DD5"/>
    <w:rsid w:val="001F5D08"/>
    <w:rsid w:val="00201EA5"/>
    <w:rsid w:val="002020EF"/>
    <w:rsid w:val="00206B52"/>
    <w:rsid w:val="00242508"/>
    <w:rsid w:val="00271803"/>
    <w:rsid w:val="00271882"/>
    <w:rsid w:val="00272065"/>
    <w:rsid w:val="002764ED"/>
    <w:rsid w:val="00285721"/>
    <w:rsid w:val="002B2D9A"/>
    <w:rsid w:val="002B76BB"/>
    <w:rsid w:val="002D2D5B"/>
    <w:rsid w:val="002E4DBB"/>
    <w:rsid w:val="002F388A"/>
    <w:rsid w:val="002F4791"/>
    <w:rsid w:val="00303324"/>
    <w:rsid w:val="003351D4"/>
    <w:rsid w:val="0034087A"/>
    <w:rsid w:val="00370DAC"/>
    <w:rsid w:val="00371AAE"/>
    <w:rsid w:val="0039017B"/>
    <w:rsid w:val="00396D75"/>
    <w:rsid w:val="003A1A71"/>
    <w:rsid w:val="003A615F"/>
    <w:rsid w:val="003B4AAA"/>
    <w:rsid w:val="003C4A83"/>
    <w:rsid w:val="003C5F4D"/>
    <w:rsid w:val="003D4264"/>
    <w:rsid w:val="003D5654"/>
    <w:rsid w:val="004016FD"/>
    <w:rsid w:val="00411B31"/>
    <w:rsid w:val="0041270A"/>
    <w:rsid w:val="00427C7B"/>
    <w:rsid w:val="00455669"/>
    <w:rsid w:val="004579BF"/>
    <w:rsid w:val="004A023C"/>
    <w:rsid w:val="004B6B75"/>
    <w:rsid w:val="004E1157"/>
    <w:rsid w:val="004E333C"/>
    <w:rsid w:val="004F0EEF"/>
    <w:rsid w:val="004F4BFF"/>
    <w:rsid w:val="0050129D"/>
    <w:rsid w:val="00512C8D"/>
    <w:rsid w:val="00526F8B"/>
    <w:rsid w:val="00541DDC"/>
    <w:rsid w:val="00574560"/>
    <w:rsid w:val="0058684E"/>
    <w:rsid w:val="00596795"/>
    <w:rsid w:val="005A6222"/>
    <w:rsid w:val="005F4A68"/>
    <w:rsid w:val="005F711E"/>
    <w:rsid w:val="00626718"/>
    <w:rsid w:val="0063724F"/>
    <w:rsid w:val="00640833"/>
    <w:rsid w:val="0064159B"/>
    <w:rsid w:val="0066394F"/>
    <w:rsid w:val="00666305"/>
    <w:rsid w:val="00685BCF"/>
    <w:rsid w:val="00692264"/>
    <w:rsid w:val="006962CB"/>
    <w:rsid w:val="006A6827"/>
    <w:rsid w:val="006A708A"/>
    <w:rsid w:val="006B50F9"/>
    <w:rsid w:val="006E279A"/>
    <w:rsid w:val="00700FB2"/>
    <w:rsid w:val="00723FB0"/>
    <w:rsid w:val="00732E12"/>
    <w:rsid w:val="00757EB8"/>
    <w:rsid w:val="0077249C"/>
    <w:rsid w:val="007A06C3"/>
    <w:rsid w:val="007D2C8E"/>
    <w:rsid w:val="00805837"/>
    <w:rsid w:val="00806819"/>
    <w:rsid w:val="008260E7"/>
    <w:rsid w:val="00837ACB"/>
    <w:rsid w:val="008431AB"/>
    <w:rsid w:val="008470E9"/>
    <w:rsid w:val="008564FF"/>
    <w:rsid w:val="00891D75"/>
    <w:rsid w:val="00892782"/>
    <w:rsid w:val="0089569A"/>
    <w:rsid w:val="008B07C4"/>
    <w:rsid w:val="008E2A25"/>
    <w:rsid w:val="008F046B"/>
    <w:rsid w:val="0094509D"/>
    <w:rsid w:val="009466B4"/>
    <w:rsid w:val="009540EA"/>
    <w:rsid w:val="0097032F"/>
    <w:rsid w:val="00990F7D"/>
    <w:rsid w:val="009963BD"/>
    <w:rsid w:val="009C1A6C"/>
    <w:rsid w:val="009C3C90"/>
    <w:rsid w:val="009F2275"/>
    <w:rsid w:val="009F310A"/>
    <w:rsid w:val="009F3E7C"/>
    <w:rsid w:val="00A34815"/>
    <w:rsid w:val="00A529E7"/>
    <w:rsid w:val="00A60236"/>
    <w:rsid w:val="00A61827"/>
    <w:rsid w:val="00A67484"/>
    <w:rsid w:val="00A94AB7"/>
    <w:rsid w:val="00AC0E72"/>
    <w:rsid w:val="00AC4042"/>
    <w:rsid w:val="00AC481C"/>
    <w:rsid w:val="00B016ED"/>
    <w:rsid w:val="00B01C31"/>
    <w:rsid w:val="00B031C3"/>
    <w:rsid w:val="00B14C0A"/>
    <w:rsid w:val="00B66753"/>
    <w:rsid w:val="00B70198"/>
    <w:rsid w:val="00B77184"/>
    <w:rsid w:val="00B93506"/>
    <w:rsid w:val="00BB2B80"/>
    <w:rsid w:val="00BC3D9E"/>
    <w:rsid w:val="00BC4B70"/>
    <w:rsid w:val="00C027F1"/>
    <w:rsid w:val="00C13026"/>
    <w:rsid w:val="00C16DEF"/>
    <w:rsid w:val="00C23308"/>
    <w:rsid w:val="00C62D4A"/>
    <w:rsid w:val="00CA3656"/>
    <w:rsid w:val="00CD4DCA"/>
    <w:rsid w:val="00CE33F7"/>
    <w:rsid w:val="00D123C3"/>
    <w:rsid w:val="00D133CC"/>
    <w:rsid w:val="00D24260"/>
    <w:rsid w:val="00D30E42"/>
    <w:rsid w:val="00D3413B"/>
    <w:rsid w:val="00D36352"/>
    <w:rsid w:val="00D546B7"/>
    <w:rsid w:val="00D6442D"/>
    <w:rsid w:val="00D649B3"/>
    <w:rsid w:val="00D7683B"/>
    <w:rsid w:val="00D864B3"/>
    <w:rsid w:val="00DC6D9E"/>
    <w:rsid w:val="00DD0757"/>
    <w:rsid w:val="00DD0D56"/>
    <w:rsid w:val="00E04ED3"/>
    <w:rsid w:val="00E210FA"/>
    <w:rsid w:val="00E455D5"/>
    <w:rsid w:val="00E5268F"/>
    <w:rsid w:val="00E565D8"/>
    <w:rsid w:val="00EB5037"/>
    <w:rsid w:val="00F13174"/>
    <w:rsid w:val="00F16516"/>
    <w:rsid w:val="00F50381"/>
    <w:rsid w:val="00F50FA9"/>
    <w:rsid w:val="00F660BB"/>
    <w:rsid w:val="00F7691A"/>
    <w:rsid w:val="00F834E6"/>
    <w:rsid w:val="00F876C4"/>
    <w:rsid w:val="00FF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BB530"/>
  <w15:docId w15:val="{3D1E375E-9F11-0841-A04E-20C0AED7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6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27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0D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E42"/>
    <w:pPr>
      <w:tabs>
        <w:tab w:val="center" w:pos="4513"/>
        <w:tab w:val="right" w:pos="9026"/>
      </w:tabs>
    </w:pPr>
  </w:style>
  <w:style w:type="character" w:customStyle="1" w:styleId="HeaderChar">
    <w:name w:val="Header Char"/>
    <w:basedOn w:val="DefaultParagraphFont"/>
    <w:link w:val="Header"/>
    <w:uiPriority w:val="99"/>
    <w:rsid w:val="00D30E42"/>
  </w:style>
  <w:style w:type="paragraph" w:styleId="Footer">
    <w:name w:val="footer"/>
    <w:basedOn w:val="Normal"/>
    <w:link w:val="FooterChar"/>
    <w:uiPriority w:val="99"/>
    <w:unhideWhenUsed/>
    <w:rsid w:val="00D30E42"/>
    <w:pPr>
      <w:tabs>
        <w:tab w:val="center" w:pos="4513"/>
        <w:tab w:val="right" w:pos="9026"/>
      </w:tabs>
    </w:pPr>
  </w:style>
  <w:style w:type="character" w:customStyle="1" w:styleId="FooterChar">
    <w:name w:val="Footer Char"/>
    <w:basedOn w:val="DefaultParagraphFont"/>
    <w:link w:val="Footer"/>
    <w:uiPriority w:val="99"/>
    <w:rsid w:val="00D30E42"/>
  </w:style>
  <w:style w:type="paragraph" w:styleId="ListParagraph">
    <w:name w:val="List Paragraph"/>
    <w:basedOn w:val="Normal"/>
    <w:uiPriority w:val="34"/>
    <w:qFormat/>
    <w:rsid w:val="00D30E42"/>
    <w:pPr>
      <w:ind w:left="720"/>
      <w:contextualSpacing/>
    </w:pPr>
  </w:style>
  <w:style w:type="paragraph" w:styleId="FootnoteText">
    <w:name w:val="footnote text"/>
    <w:basedOn w:val="Normal"/>
    <w:link w:val="FootnoteTextChar"/>
    <w:uiPriority w:val="99"/>
    <w:semiHidden/>
    <w:unhideWhenUsed/>
    <w:rsid w:val="00D30E42"/>
    <w:rPr>
      <w:sz w:val="20"/>
      <w:szCs w:val="20"/>
    </w:rPr>
  </w:style>
  <w:style w:type="character" w:customStyle="1" w:styleId="FootnoteTextChar">
    <w:name w:val="Footnote Text Char"/>
    <w:basedOn w:val="DefaultParagraphFont"/>
    <w:link w:val="FootnoteText"/>
    <w:uiPriority w:val="99"/>
    <w:semiHidden/>
    <w:rsid w:val="00D30E42"/>
    <w:rPr>
      <w:sz w:val="20"/>
      <w:szCs w:val="20"/>
    </w:rPr>
  </w:style>
  <w:style w:type="character" w:styleId="FootnoteReference">
    <w:name w:val="footnote reference"/>
    <w:basedOn w:val="DefaultParagraphFont"/>
    <w:uiPriority w:val="99"/>
    <w:semiHidden/>
    <w:unhideWhenUsed/>
    <w:rsid w:val="00D30E42"/>
    <w:rPr>
      <w:vertAlign w:val="superscript"/>
    </w:rPr>
  </w:style>
  <w:style w:type="character" w:styleId="Hyperlink">
    <w:name w:val="Hyperlink"/>
    <w:basedOn w:val="DefaultParagraphFont"/>
    <w:uiPriority w:val="99"/>
    <w:unhideWhenUsed/>
    <w:rsid w:val="00D30E42"/>
    <w:rPr>
      <w:color w:val="0000FF"/>
      <w:u w:val="single"/>
    </w:rPr>
  </w:style>
  <w:style w:type="character" w:styleId="FollowedHyperlink">
    <w:name w:val="FollowedHyperlink"/>
    <w:basedOn w:val="DefaultParagraphFont"/>
    <w:uiPriority w:val="99"/>
    <w:semiHidden/>
    <w:unhideWhenUsed/>
    <w:rsid w:val="00D30E42"/>
    <w:rPr>
      <w:color w:val="954F72" w:themeColor="followedHyperlink"/>
      <w:u w:val="single"/>
    </w:rPr>
  </w:style>
  <w:style w:type="character" w:styleId="UnresolvedMention">
    <w:name w:val="Unresolved Mention"/>
    <w:basedOn w:val="DefaultParagraphFont"/>
    <w:uiPriority w:val="99"/>
    <w:semiHidden/>
    <w:unhideWhenUsed/>
    <w:rsid w:val="00D30E42"/>
    <w:rPr>
      <w:color w:val="605E5C"/>
      <w:shd w:val="clear" w:color="auto" w:fill="E1DFDD"/>
    </w:rPr>
  </w:style>
  <w:style w:type="table" w:styleId="TableGrid">
    <w:name w:val="Table Grid"/>
    <w:basedOn w:val="TableNormal"/>
    <w:uiPriority w:val="39"/>
    <w:rsid w:val="0027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503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8956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9569A"/>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89569A"/>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89569A"/>
    <w:rPr>
      <w:rFonts w:cstheme="minorHAnsi"/>
      <w:b/>
      <w:bCs/>
      <w:smallCaps/>
      <w:sz w:val="22"/>
      <w:szCs w:val="22"/>
    </w:rPr>
  </w:style>
  <w:style w:type="paragraph" w:styleId="TOC3">
    <w:name w:val="toc 3"/>
    <w:basedOn w:val="Normal"/>
    <w:next w:val="Normal"/>
    <w:autoRedefine/>
    <w:uiPriority w:val="39"/>
    <w:semiHidden/>
    <w:unhideWhenUsed/>
    <w:rsid w:val="0089569A"/>
    <w:rPr>
      <w:rFonts w:cstheme="minorHAnsi"/>
      <w:smallCaps/>
      <w:sz w:val="22"/>
      <w:szCs w:val="22"/>
    </w:rPr>
  </w:style>
  <w:style w:type="paragraph" w:styleId="TOC4">
    <w:name w:val="toc 4"/>
    <w:basedOn w:val="Normal"/>
    <w:next w:val="Normal"/>
    <w:autoRedefine/>
    <w:uiPriority w:val="39"/>
    <w:semiHidden/>
    <w:unhideWhenUsed/>
    <w:rsid w:val="0089569A"/>
    <w:rPr>
      <w:rFonts w:cstheme="minorHAnsi"/>
      <w:sz w:val="22"/>
      <w:szCs w:val="22"/>
    </w:rPr>
  </w:style>
  <w:style w:type="paragraph" w:styleId="TOC5">
    <w:name w:val="toc 5"/>
    <w:basedOn w:val="Normal"/>
    <w:next w:val="Normal"/>
    <w:autoRedefine/>
    <w:uiPriority w:val="39"/>
    <w:semiHidden/>
    <w:unhideWhenUsed/>
    <w:rsid w:val="0089569A"/>
    <w:rPr>
      <w:rFonts w:cstheme="minorHAnsi"/>
      <w:sz w:val="22"/>
      <w:szCs w:val="22"/>
    </w:rPr>
  </w:style>
  <w:style w:type="paragraph" w:styleId="TOC6">
    <w:name w:val="toc 6"/>
    <w:basedOn w:val="Normal"/>
    <w:next w:val="Normal"/>
    <w:autoRedefine/>
    <w:uiPriority w:val="39"/>
    <w:semiHidden/>
    <w:unhideWhenUsed/>
    <w:rsid w:val="0089569A"/>
    <w:rPr>
      <w:rFonts w:cstheme="minorHAnsi"/>
      <w:sz w:val="22"/>
      <w:szCs w:val="22"/>
    </w:rPr>
  </w:style>
  <w:style w:type="paragraph" w:styleId="TOC7">
    <w:name w:val="toc 7"/>
    <w:basedOn w:val="Normal"/>
    <w:next w:val="Normal"/>
    <w:autoRedefine/>
    <w:uiPriority w:val="39"/>
    <w:semiHidden/>
    <w:unhideWhenUsed/>
    <w:rsid w:val="0089569A"/>
    <w:rPr>
      <w:rFonts w:cstheme="minorHAnsi"/>
      <w:sz w:val="22"/>
      <w:szCs w:val="22"/>
    </w:rPr>
  </w:style>
  <w:style w:type="paragraph" w:styleId="TOC8">
    <w:name w:val="toc 8"/>
    <w:basedOn w:val="Normal"/>
    <w:next w:val="Normal"/>
    <w:autoRedefine/>
    <w:uiPriority w:val="39"/>
    <w:semiHidden/>
    <w:unhideWhenUsed/>
    <w:rsid w:val="0089569A"/>
    <w:rPr>
      <w:rFonts w:cstheme="minorHAnsi"/>
      <w:sz w:val="22"/>
      <w:szCs w:val="22"/>
    </w:rPr>
  </w:style>
  <w:style w:type="paragraph" w:styleId="TOC9">
    <w:name w:val="toc 9"/>
    <w:basedOn w:val="Normal"/>
    <w:next w:val="Normal"/>
    <w:autoRedefine/>
    <w:uiPriority w:val="39"/>
    <w:semiHidden/>
    <w:unhideWhenUsed/>
    <w:rsid w:val="0089569A"/>
    <w:rPr>
      <w:rFonts w:cstheme="minorHAnsi"/>
      <w:sz w:val="22"/>
      <w:szCs w:val="22"/>
    </w:rPr>
  </w:style>
  <w:style w:type="character" w:styleId="PageNumber">
    <w:name w:val="page number"/>
    <w:basedOn w:val="DefaultParagraphFont"/>
    <w:uiPriority w:val="99"/>
    <w:semiHidden/>
    <w:unhideWhenUsed/>
    <w:rsid w:val="0089569A"/>
  </w:style>
  <w:style w:type="paragraph" w:customStyle="1" w:styleId="Titre1">
    <w:name w:val="Titre 1"/>
    <w:basedOn w:val="Normal"/>
    <w:rsid w:val="000427D1"/>
  </w:style>
  <w:style w:type="paragraph" w:customStyle="1" w:styleId="Titre2">
    <w:name w:val="Titre 2"/>
    <w:basedOn w:val="Normal"/>
    <w:rsid w:val="000427D1"/>
  </w:style>
  <w:style w:type="paragraph" w:customStyle="1" w:styleId="Titre3">
    <w:name w:val="Titre 3"/>
    <w:basedOn w:val="Normal"/>
    <w:rsid w:val="000427D1"/>
  </w:style>
  <w:style w:type="paragraph" w:customStyle="1" w:styleId="Titre4">
    <w:name w:val="Titre 4"/>
    <w:basedOn w:val="Normal"/>
    <w:rsid w:val="000427D1"/>
  </w:style>
  <w:style w:type="paragraph" w:customStyle="1" w:styleId="Titre5">
    <w:name w:val="Titre 5"/>
    <w:basedOn w:val="Normal"/>
    <w:rsid w:val="000427D1"/>
  </w:style>
  <w:style w:type="paragraph" w:customStyle="1" w:styleId="Titre6">
    <w:name w:val="Titre 6"/>
    <w:basedOn w:val="Normal"/>
    <w:rsid w:val="000427D1"/>
  </w:style>
  <w:style w:type="paragraph" w:customStyle="1" w:styleId="Titre7">
    <w:name w:val="Titre 7"/>
    <w:basedOn w:val="Normal"/>
    <w:rsid w:val="000427D1"/>
  </w:style>
  <w:style w:type="paragraph" w:customStyle="1" w:styleId="Titre8">
    <w:name w:val="Titre 8"/>
    <w:basedOn w:val="Normal"/>
    <w:rsid w:val="000427D1"/>
  </w:style>
  <w:style w:type="paragraph" w:customStyle="1" w:styleId="Titre9">
    <w:name w:val="Titre 9"/>
    <w:basedOn w:val="Normal"/>
    <w:rsid w:val="000427D1"/>
  </w:style>
  <w:style w:type="character" w:customStyle="1" w:styleId="Heading2Char">
    <w:name w:val="Heading 2 Char"/>
    <w:basedOn w:val="DefaultParagraphFont"/>
    <w:link w:val="Heading2"/>
    <w:uiPriority w:val="9"/>
    <w:rsid w:val="000427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0D56"/>
    <w:rPr>
      <w:rFonts w:asciiTheme="majorHAnsi" w:eastAsiaTheme="majorEastAsia" w:hAnsiTheme="majorHAnsi" w:cstheme="majorBidi"/>
      <w:color w:val="1F3763" w:themeColor="accent1" w:themeShade="7F"/>
    </w:rPr>
  </w:style>
  <w:style w:type="numbering" w:customStyle="1" w:styleId="CurrentList1">
    <w:name w:val="Current List1"/>
    <w:uiPriority w:val="99"/>
    <w:rsid w:val="00CD4DCA"/>
    <w:pPr>
      <w:numPr>
        <w:numId w:val="20"/>
      </w:numPr>
    </w:pPr>
  </w:style>
  <w:style w:type="numbering" w:customStyle="1" w:styleId="CurrentList2">
    <w:name w:val="Current List2"/>
    <w:uiPriority w:val="99"/>
    <w:rsid w:val="00455669"/>
    <w:pPr>
      <w:numPr>
        <w:numId w:val="24"/>
      </w:numPr>
    </w:pPr>
  </w:style>
  <w:style w:type="numbering" w:customStyle="1" w:styleId="CurrentList3">
    <w:name w:val="Current List3"/>
    <w:uiPriority w:val="99"/>
    <w:rsid w:val="00455669"/>
    <w:pPr>
      <w:numPr>
        <w:numId w:val="26"/>
      </w:numPr>
    </w:pPr>
  </w:style>
  <w:style w:type="numbering" w:customStyle="1" w:styleId="CurrentList4">
    <w:name w:val="Current List4"/>
    <w:uiPriority w:val="99"/>
    <w:rsid w:val="0045566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7755">
      <w:bodyDiv w:val="1"/>
      <w:marLeft w:val="0"/>
      <w:marRight w:val="0"/>
      <w:marTop w:val="0"/>
      <w:marBottom w:val="0"/>
      <w:divBdr>
        <w:top w:val="none" w:sz="0" w:space="0" w:color="auto"/>
        <w:left w:val="none" w:sz="0" w:space="0" w:color="auto"/>
        <w:bottom w:val="none" w:sz="0" w:space="0" w:color="auto"/>
        <w:right w:val="none" w:sz="0" w:space="0" w:color="auto"/>
      </w:divBdr>
    </w:div>
    <w:div w:id="211500683">
      <w:bodyDiv w:val="1"/>
      <w:marLeft w:val="0"/>
      <w:marRight w:val="0"/>
      <w:marTop w:val="0"/>
      <w:marBottom w:val="0"/>
      <w:divBdr>
        <w:top w:val="none" w:sz="0" w:space="0" w:color="auto"/>
        <w:left w:val="none" w:sz="0" w:space="0" w:color="auto"/>
        <w:bottom w:val="none" w:sz="0" w:space="0" w:color="auto"/>
        <w:right w:val="none" w:sz="0" w:space="0" w:color="auto"/>
      </w:divBdr>
    </w:div>
    <w:div w:id="491873371">
      <w:bodyDiv w:val="1"/>
      <w:marLeft w:val="0"/>
      <w:marRight w:val="0"/>
      <w:marTop w:val="0"/>
      <w:marBottom w:val="0"/>
      <w:divBdr>
        <w:top w:val="none" w:sz="0" w:space="0" w:color="auto"/>
        <w:left w:val="none" w:sz="0" w:space="0" w:color="auto"/>
        <w:bottom w:val="none" w:sz="0" w:space="0" w:color="auto"/>
        <w:right w:val="none" w:sz="0" w:space="0" w:color="auto"/>
      </w:divBdr>
    </w:div>
    <w:div w:id="959872147">
      <w:bodyDiv w:val="1"/>
      <w:marLeft w:val="0"/>
      <w:marRight w:val="0"/>
      <w:marTop w:val="0"/>
      <w:marBottom w:val="0"/>
      <w:divBdr>
        <w:top w:val="none" w:sz="0" w:space="0" w:color="auto"/>
        <w:left w:val="none" w:sz="0" w:space="0" w:color="auto"/>
        <w:bottom w:val="none" w:sz="0" w:space="0" w:color="auto"/>
        <w:right w:val="none" w:sz="0" w:space="0" w:color="auto"/>
      </w:divBdr>
    </w:div>
    <w:div w:id="2131243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iprd.on.ca/wp-content/uploads/OIPRD-2021-22-Annual-Report-English.pdf" TargetMode="External"/><Relationship Id="rId13" Type="http://schemas.openxmlformats.org/officeDocument/2006/relationships/hyperlink" Target="https://www.oiprd.on.ca/wp-content/uploads/OIPRD-2021-22-Annual-Report-English.pdf" TargetMode="External"/><Relationship Id="rId3" Type="http://schemas.openxmlformats.org/officeDocument/2006/relationships/hyperlink" Target="https://deontologie-policiere.gouv.qc.ca/fileadmin/contenu/publications/RAG_2021_2022_COMDP_VF_20221031.pdf" TargetMode="External"/><Relationship Id="rId7" Type="http://schemas.openxmlformats.org/officeDocument/2006/relationships/hyperlink" Target="https://opcc.bc.ca/wp-content/uploads/2023/01/OPCC_2021-22_Annual-Report_8331_FINAL_online_.pdf" TargetMode="External"/><Relationship Id="rId12" Type="http://schemas.openxmlformats.org/officeDocument/2006/relationships/hyperlink" Target="https://www.oiprd.on.ca/wp-content/uploads/OIPRD-2021-22-Annual-Report-English.pdf" TargetMode="External"/><Relationship Id="rId17" Type="http://schemas.openxmlformats.org/officeDocument/2006/relationships/hyperlink" Target="https://comite.deontologie.gouv.qc.ca/fileadmin/user_upload/20230626_Dec_rejet_C-5406.pdf" TargetMode="External"/><Relationship Id="rId2" Type="http://schemas.openxmlformats.org/officeDocument/2006/relationships/hyperlink" Target="https://deontologie-policiere.gouv.qc.ca/fileadmin/contenu/publications/RAG_2021_2022_COMDP_VF_20221031.pdf" TargetMode="External"/><Relationship Id="rId16" Type="http://schemas.openxmlformats.org/officeDocument/2006/relationships/hyperlink" Target="https://deontologie-policiere.gouv.qc.ca/fileadmin/contenu/publications/RAG_2021_2022_COMDP_VF_20221031.pdf" TargetMode="External"/><Relationship Id="rId1" Type="http://schemas.openxmlformats.org/officeDocument/2006/relationships/hyperlink" Target="https://www.legisquebec.gouv.qc.ca/fr/document/lc/p-13.1" TargetMode="External"/><Relationship Id="rId6" Type="http://schemas.openxmlformats.org/officeDocument/2006/relationships/hyperlink" Target="https://deontologie-policiere.gouv.qc.ca/faq?fbclid=IwAR25-5KNAUCdRE_A15NvAiRFZecoJ0Z5Qdi_hCrhpi7qu6jezg1q_tBizys" TargetMode="External"/><Relationship Id="rId11" Type="http://schemas.openxmlformats.org/officeDocument/2006/relationships/hyperlink" Target="https://www.oiprd.on.ca/wp-content/uploads/OIPRD-2021-22-Annual-Report-English.pdf" TargetMode="External"/><Relationship Id="rId5" Type="http://schemas.openxmlformats.org/officeDocument/2006/relationships/hyperlink" Target="https://deontologie-policiere.gouv.qc.ca" TargetMode="External"/><Relationship Id="rId15" Type="http://schemas.openxmlformats.org/officeDocument/2006/relationships/hyperlink" Target="https://www.assnat.qc.ca/fr/video-audio/archives-parlementaires/travaux-commissions/AudioVideo-98449.html" TargetMode="External"/><Relationship Id="rId10" Type="http://schemas.openxmlformats.org/officeDocument/2006/relationships/hyperlink" Target="https://www.oiprd.on.ca/wp-content/uploads/OIPRD-2021-22-Annual-Report-English.pdf" TargetMode="External"/><Relationship Id="rId4" Type="http://schemas.openxmlformats.org/officeDocument/2006/relationships/hyperlink" Target="https://deontologie-policiere.gouv.qc.ca/fileadmin/contenu/publications/RAG_2021_2022_COMDP_VF_20221031.pdf" TargetMode="External"/><Relationship Id="rId9" Type="http://schemas.openxmlformats.org/officeDocument/2006/relationships/hyperlink" Target="https://www.oiprd.on.ca/wp-content/uploads/OIPRD-2021-22-Annual-Report-English.pdf" TargetMode="External"/><Relationship Id="rId14" Type="http://schemas.openxmlformats.org/officeDocument/2006/relationships/hyperlink" Target="https://www.oiprd.on.ca/wp-content/uploads/OIPRD-2021-22-Annual-Report-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971C-07B9-4346-8492-72B52C47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14</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ABRAINI, JOHN H. (Student)</dc:creator>
  <cp:keywords/>
  <dc:description/>
  <cp:lastModifiedBy>ABRAINI, JOHN H. (Student)</cp:lastModifiedBy>
  <cp:revision>64</cp:revision>
  <dcterms:created xsi:type="dcterms:W3CDTF">2023-07-19T19:23:00Z</dcterms:created>
  <dcterms:modified xsi:type="dcterms:W3CDTF">2023-10-17T20:39:00Z</dcterms:modified>
</cp:coreProperties>
</file>